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470"/>
        </w:tabs>
        <w:spacing w:line="540" w:lineRule="atLeast"/>
        <w:jc w:val="center"/>
        <w:rPr>
          <w:rFonts w:hint="eastAsia" w:ascii="宋体" w:hAnsi="宋体" w:eastAsia="宋体" w:cs="宋体"/>
          <w:b/>
          <w:kern w:val="0"/>
          <w:sz w:val="30"/>
          <w:szCs w:val="30"/>
          <w:lang w:val="en-US" w:eastAsia="zh-CN" w:bidi="ar-SA"/>
        </w:rPr>
      </w:pPr>
      <w:r>
        <w:rPr>
          <w:rFonts w:hint="eastAsia" w:ascii="宋体" w:hAnsi="宋体" w:eastAsia="宋体" w:cs="宋体"/>
          <w:b/>
          <w:sz w:val="30"/>
          <w:szCs w:val="30"/>
          <w:lang w:val="en-US" w:eastAsia="zh-CN"/>
        </w:rPr>
        <w:t>关于</w:t>
      </w:r>
      <w:bookmarkStart w:id="0" w:name="Text2"/>
      <w:r>
        <w:rPr>
          <w:rFonts w:hint="eastAsia" w:ascii="宋体" w:hAnsi="宋体" w:eastAsia="宋体" w:cs="宋体"/>
          <w:b/>
          <w:kern w:val="0"/>
          <w:sz w:val="30"/>
          <w:szCs w:val="30"/>
          <w:lang w:val="en-US" w:eastAsia="zh-CN" w:bidi="ar-SA"/>
        </w:rPr>
        <w:fldChar w:fldCharType="begin">
          <w:ffData>
            <w:name w:val="Text2"/>
            <w:enabled/>
            <w:calcOnExit w:val="0"/>
            <w:textInput>
              <w:default w:val="民生理财贵竹固收增利周周盈7天持有期13号理财产品"/>
            </w:textInput>
          </w:ffData>
        </w:fldChar>
      </w:r>
      <w:r>
        <w:rPr>
          <w:rFonts w:hint="eastAsia" w:ascii="宋体" w:hAnsi="宋体" w:eastAsia="宋体" w:cs="宋体"/>
          <w:b/>
          <w:kern w:val="0"/>
          <w:sz w:val="30"/>
          <w:szCs w:val="30"/>
          <w:lang w:val="en-US" w:eastAsia="zh-CN" w:bidi="ar-SA"/>
        </w:rPr>
        <w:instrText xml:space="preserve">FORMTEXT</w:instrText>
      </w:r>
      <w:r>
        <w:rPr>
          <w:rFonts w:hint="eastAsia" w:ascii="宋体" w:hAnsi="宋体" w:eastAsia="宋体" w:cs="宋体"/>
          <w:b/>
          <w:kern w:val="0"/>
          <w:sz w:val="30"/>
          <w:szCs w:val="30"/>
          <w:lang w:val="en-US" w:eastAsia="zh-CN" w:bidi="ar-SA"/>
        </w:rPr>
        <w:fldChar w:fldCharType="separate"/>
      </w:r>
      <w:r>
        <w:rPr>
          <w:rFonts w:hint="eastAsia" w:ascii="宋体" w:hAnsi="宋体" w:eastAsia="宋体" w:cs="宋体"/>
          <w:b/>
          <w:kern w:val="0"/>
          <w:sz w:val="30"/>
          <w:szCs w:val="30"/>
          <w:lang w:val="en-US" w:eastAsia="zh-CN" w:bidi="ar-SA"/>
        </w:rPr>
        <w:t>民生理财贵竹固收增利周周盈7天持有期13号理财产品</w:t>
      </w:r>
      <w:r>
        <w:rPr>
          <w:rFonts w:hint="eastAsia" w:ascii="宋体" w:hAnsi="宋体" w:eastAsia="宋体" w:cs="宋体"/>
          <w:b/>
          <w:kern w:val="0"/>
          <w:sz w:val="30"/>
          <w:szCs w:val="30"/>
          <w:lang w:val="en-US" w:eastAsia="zh-CN" w:bidi="ar-SA"/>
        </w:rPr>
        <w:fldChar w:fldCharType="end"/>
      </w:r>
      <w:bookmarkEnd w:id="0"/>
    </w:p>
    <w:p>
      <w:pPr>
        <w:pStyle w:val="6"/>
        <w:tabs>
          <w:tab w:val="left" w:pos="1470"/>
        </w:tabs>
        <w:spacing w:line="540" w:lineRule="atLeast"/>
        <w:jc w:val="center"/>
        <w:rPr>
          <w:rFonts w:hint="eastAsia" w:ascii="宋体" w:hAnsi="宋体" w:eastAsia="宋体" w:cs="宋体"/>
          <w:b/>
          <w:sz w:val="30"/>
          <w:szCs w:val="30"/>
          <w:lang w:val="en-US" w:eastAsia="zh-CN"/>
        </w:rPr>
      </w:pPr>
      <w:r>
        <w:rPr>
          <w:rFonts w:hint="eastAsia" w:ascii="宋体" w:hAnsi="宋体" w:cs="宋体"/>
          <w:b/>
          <w:kern w:val="0"/>
          <w:sz w:val="30"/>
          <w:szCs w:val="30"/>
          <w:lang w:val="en-US" w:eastAsia="zh-CN" w:bidi="ar-SA"/>
        </w:rPr>
        <w:t>增加销售对象及合同调整</w:t>
      </w:r>
      <w:r>
        <w:rPr>
          <w:rFonts w:hint="eastAsia" w:ascii="宋体" w:hAnsi="宋体" w:eastAsia="宋体" w:cs="宋体"/>
          <w:b/>
          <w:sz w:val="30"/>
          <w:szCs w:val="30"/>
          <w:lang w:val="en-US" w:eastAsia="zh-CN"/>
        </w:rPr>
        <w:t>的公告</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p>
    <w:p>
      <w:pPr>
        <w:pStyle w:val="6"/>
        <w:keepNext w:val="0"/>
        <w:keepLines w:val="0"/>
        <w:pageBreakBefore w:val="0"/>
        <w:tabs>
          <w:tab w:val="left" w:pos="1470"/>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尊敬的投资者：</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sz w:val="21"/>
          <w:szCs w:val="21"/>
          <w:lang w:val="en-US" w:eastAsia="zh-CN"/>
        </w:rPr>
        <w:t>为满足投资者的投资需求，我司拟自</w:t>
      </w:r>
      <w:bookmarkStart w:id="1" w:name="XX机构"/>
      <w:r>
        <w:rPr>
          <w:rFonts w:hint="eastAsia" w:ascii="Times New Roman" w:hAnsi="Times New Roman" w:eastAsia="宋体" w:cs="Times New Roman"/>
          <w:kern w:val="0"/>
          <w:sz w:val="21"/>
          <w:szCs w:val="24"/>
          <w:highlight w:val="none"/>
          <w:lang w:val="en-US" w:eastAsia="zh-CN" w:bidi="ar-SA"/>
        </w:rPr>
        <w:fldChar w:fldCharType="begin">
          <w:ffData>
            <w:name w:val="XX机构"/>
            <w:enabled/>
            <w:calcOnExit w:val="0"/>
            <w:textInput>
              <w:default w:val="2026年9月7日（含）"/>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2026年9月7日（含）</w:t>
      </w:r>
      <w:r>
        <w:rPr>
          <w:rFonts w:hint="eastAsia" w:ascii="Times New Roman" w:hAnsi="Times New Roman" w:eastAsia="宋体" w:cs="Times New Roman"/>
          <w:kern w:val="0"/>
          <w:sz w:val="21"/>
          <w:szCs w:val="24"/>
          <w:highlight w:val="none"/>
          <w:lang w:val="en-US" w:eastAsia="zh-CN" w:bidi="ar-SA"/>
        </w:rPr>
        <w:fldChar w:fldCharType="end"/>
      </w:r>
      <w:bookmarkEnd w:id="1"/>
      <w:r>
        <w:rPr>
          <w:rFonts w:hint="eastAsia" w:ascii="Times New Roman" w:hAnsi="Times New Roman" w:cs="Times New Roman"/>
          <w:kern w:val="0"/>
          <w:sz w:val="21"/>
          <w:szCs w:val="24"/>
          <w:highlight w:val="none"/>
          <w:lang w:val="en-US" w:eastAsia="zh-CN" w:bidi="ar-SA"/>
        </w:rPr>
        <w:t>起，对</w:t>
      </w:r>
      <w:bookmarkStart w:id="2" w:name="FileSave"/>
      <w:r>
        <w:rPr>
          <w:rFonts w:hint="eastAsia" w:ascii="Times New Roman" w:hAnsi="Times New Roman" w:eastAsia="宋体" w:cs="Times New Roman"/>
          <w:kern w:val="0"/>
          <w:sz w:val="21"/>
          <w:szCs w:val="24"/>
          <w:highlight w:val="none"/>
          <w:lang w:val="en-US" w:eastAsia="zh-CN" w:bidi="ar-SA"/>
        </w:rPr>
        <w:fldChar w:fldCharType="begin">
          <w:ffData>
            <w:name w:val="FileSave"/>
            <w:enabled/>
            <w:calcOnExit w:val="0"/>
            <w:textInput>
              <w:default w:val="民生理财贵竹固收增利周周盈7天持有期13号理财产品（产品代码：FBAE41113）"/>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民生理财贵竹固收增利周周盈7天持有期13号理财产品（产品代码：FBAE41113）</w:t>
      </w:r>
      <w:r>
        <w:rPr>
          <w:rFonts w:hint="eastAsia" w:ascii="Times New Roman" w:hAnsi="Times New Roman" w:eastAsia="宋体" w:cs="Times New Roman"/>
          <w:kern w:val="0"/>
          <w:sz w:val="21"/>
          <w:szCs w:val="24"/>
          <w:highlight w:val="none"/>
          <w:lang w:val="en-US" w:eastAsia="zh-CN" w:bidi="ar-SA"/>
        </w:rPr>
        <w:fldChar w:fldCharType="end"/>
      </w:r>
      <w:bookmarkEnd w:id="2"/>
      <w:r>
        <w:rPr>
          <w:rFonts w:hint="eastAsia" w:ascii="Times New Roman" w:hAnsi="Times New Roman" w:cs="Times New Roman"/>
          <w:kern w:val="0"/>
          <w:sz w:val="21"/>
          <w:szCs w:val="24"/>
          <w:highlight w:val="none"/>
          <w:lang w:val="en-US" w:eastAsia="zh-CN" w:bidi="ar-SA"/>
        </w:rPr>
        <w:t>新增</w:t>
      </w:r>
      <w:r>
        <w:rPr>
          <w:rFonts w:hint="eastAsia" w:ascii="Times New Roman" w:hAnsi="Times New Roman" w:eastAsia="宋体" w:cs="Times New Roman"/>
          <w:kern w:val="0"/>
          <w:sz w:val="21"/>
          <w:szCs w:val="24"/>
          <w:highlight w:val="none"/>
          <w:lang w:val="en-US" w:eastAsia="zh-CN" w:bidi="ar-SA"/>
        </w:rPr>
        <w:fldChar w:fldCharType="begin">
          <w:ffData>
            <w:name w:val="正文"/>
            <w:enabled/>
            <w:calcOnExit w:val="0"/>
            <w:textInput>
              <w:default w:val="P份额"/>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fldChar w:fldCharType="end"/>
      </w:r>
      <w:r>
        <w:rPr>
          <w:rFonts w:hint="eastAsia" w:ascii="Times New Roman" w:hAnsi="Times New Roman" w:cs="Times New Roman"/>
          <w:kern w:val="0"/>
          <w:sz w:val="21"/>
          <w:szCs w:val="24"/>
          <w:highlight w:val="none"/>
          <w:lang w:val="en-US" w:eastAsia="zh-CN" w:bidi="ar-SA"/>
        </w:rPr>
        <w:t>，</w:t>
      </w:r>
      <w:bookmarkStart w:id="3" w:name="Text3"/>
      <w:r>
        <w:rPr>
          <w:rFonts w:hint="eastAsia" w:ascii="Times New Roman" w:hAnsi="Times New Roman" w:eastAsia="宋体" w:cs="Times New Roman"/>
          <w:kern w:val="0"/>
          <w:sz w:val="21"/>
          <w:szCs w:val="24"/>
          <w:lang w:val="en-US" w:eastAsia="zh-CN" w:bidi="ar-SA"/>
        </w:rPr>
        <w:fldChar w:fldCharType="begin">
          <w:ffData>
            <w:name w:val="Text3"/>
            <w:enabled/>
            <w:calcOnExit w:val="0"/>
            <w:textInput>
              <w:default w:val="并面向上海浦东发展银行股份有限公司进行销售"/>
            </w:textInput>
          </w:ffData>
        </w:fldChar>
      </w:r>
      <w:r>
        <w:rPr>
          <w:rFonts w:hint="eastAsia" w:ascii="Times New Roman" w:hAnsi="Times New Roman" w:eastAsia="宋体" w:cs="Times New Roman"/>
          <w:kern w:val="0"/>
          <w:sz w:val="21"/>
          <w:szCs w:val="24"/>
          <w:lang w:val="en-US" w:eastAsia="zh-CN" w:bidi="ar-SA"/>
        </w:rPr>
        <w:instrText xml:space="preserve">FORMTEXT</w:instrText>
      </w:r>
      <w:r>
        <w:rPr>
          <w:rFonts w:hint="eastAsia" w:ascii="Times New Roman" w:hAnsi="Times New Roman" w:eastAsia="宋体" w:cs="Times New Roman"/>
          <w:kern w:val="0"/>
          <w:sz w:val="21"/>
          <w:szCs w:val="24"/>
          <w:lang w:val="en-US" w:eastAsia="zh-CN" w:bidi="ar-SA"/>
        </w:rPr>
        <w:fldChar w:fldCharType="separate"/>
      </w:r>
      <w:r>
        <w:rPr>
          <w:rFonts w:hint="eastAsia" w:ascii="Times New Roman" w:hAnsi="Times New Roman" w:eastAsia="宋体" w:cs="Times New Roman"/>
          <w:kern w:val="0"/>
          <w:sz w:val="21"/>
          <w:szCs w:val="24"/>
          <w:lang w:val="en-US" w:eastAsia="zh-CN" w:bidi="ar-SA"/>
        </w:rPr>
        <w:t>并面向上海浦东发展银行股份有限公司进行销售</w:t>
      </w:r>
      <w:r>
        <w:rPr>
          <w:rFonts w:hint="eastAsia" w:ascii="Times New Roman" w:hAnsi="Times New Roman" w:eastAsia="宋体" w:cs="Times New Roman"/>
          <w:kern w:val="0"/>
          <w:sz w:val="21"/>
          <w:szCs w:val="24"/>
          <w:lang w:val="en-US" w:eastAsia="zh-CN" w:bidi="ar-SA"/>
        </w:rPr>
        <w:fldChar w:fldCharType="end"/>
      </w:r>
      <w:bookmarkEnd w:id="3"/>
      <w:r>
        <w:rPr>
          <w:rFonts w:hint="eastAsia" w:ascii="Times New Roman" w:hAnsi="Times New Roman" w:cs="Times New Roman"/>
          <w:kern w:val="0"/>
          <w:sz w:val="21"/>
          <w:szCs w:val="24"/>
          <w:highlight w:val="none"/>
          <w:lang w:val="en-US" w:eastAsia="zh-CN" w:bidi="ar-SA"/>
        </w:rPr>
        <w:t>。</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由于</w:t>
      </w:r>
      <w:r>
        <w:rPr>
          <w:rFonts w:hint="eastAsia" w:ascii="宋体" w:hAnsi="宋体" w:eastAsia="宋体" w:cs="宋体"/>
          <w:b w:val="0"/>
          <w:bCs/>
          <w:kern w:val="2"/>
          <w:sz w:val="21"/>
          <w:szCs w:val="21"/>
          <w:lang w:val="en-US" w:eastAsia="zh-CN" w:bidi="ar-SA"/>
        </w:rPr>
        <w:fldChar w:fldCharType="begin">
          <w:ffData>
            <w:name w:val="Text1"/>
            <w:enabled/>
            <w:calcOnExit w:val="0"/>
            <w:textInput>
              <w:default w:val="不同份额的销售对象及适合投资者、认购/申购起点金额、认购/申购递增金额、最小赎回份额、认购/申购金额限制、赎回份额限制、业绩比较基准"/>
            </w:textInput>
          </w:ffData>
        </w:fldChar>
      </w:r>
      <w:r>
        <w:rPr>
          <w:rFonts w:hint="eastAsia" w:ascii="宋体" w:hAnsi="宋体" w:eastAsia="宋体" w:cs="宋体"/>
          <w:b w:val="0"/>
          <w:bCs/>
          <w:kern w:val="2"/>
          <w:sz w:val="21"/>
          <w:szCs w:val="21"/>
          <w:lang w:val="en-US" w:eastAsia="zh-CN" w:bidi="ar-SA"/>
        </w:rPr>
        <w:instrText xml:space="preserve">FORMTEXT</w:instrText>
      </w:r>
      <w:r>
        <w:rPr>
          <w:rFonts w:hint="eastAsia" w:ascii="宋体" w:hAnsi="宋体" w:eastAsia="宋体" w:cs="宋体"/>
          <w:b w:val="0"/>
          <w:bCs/>
          <w:kern w:val="2"/>
          <w:sz w:val="21"/>
          <w:szCs w:val="21"/>
          <w:lang w:val="en-US" w:eastAsia="zh-CN" w:bidi="ar-SA"/>
        </w:rPr>
        <w:fldChar w:fldCharType="separate"/>
      </w:r>
      <w:r>
        <w:rPr>
          <w:rFonts w:hint="eastAsia" w:ascii="宋体" w:hAnsi="宋体" w:eastAsia="宋体" w:cs="宋体"/>
          <w:b w:val="0"/>
          <w:bCs/>
          <w:kern w:val="2"/>
          <w:sz w:val="21"/>
          <w:szCs w:val="21"/>
          <w:lang w:val="en-US" w:eastAsia="zh-CN" w:bidi="ar-SA"/>
        </w:rPr>
        <w:t>不同份额的销售对象及适合投资者、认购/申购起点金额、认购/申购递增金额、最小赎回份额、认购/申购金额限制、赎回份额限制、业绩比较基准</w:t>
      </w:r>
      <w:r>
        <w:rPr>
          <w:rFonts w:hint="eastAsia" w:ascii="宋体" w:hAnsi="宋体" w:eastAsia="宋体" w:cs="宋体"/>
          <w:b w:val="0"/>
          <w:bCs/>
          <w:kern w:val="2"/>
          <w:sz w:val="21"/>
          <w:szCs w:val="21"/>
          <w:lang w:val="en-US" w:eastAsia="zh-CN" w:bidi="ar-SA"/>
        </w:rPr>
        <w:fldChar w:fldCharType="end"/>
      </w:r>
      <w:r>
        <w:rPr>
          <w:rFonts w:hint="eastAsia" w:ascii="宋体" w:hAnsi="宋体" w:eastAsia="宋体" w:cs="宋体"/>
          <w:b w:val="0"/>
          <w:bCs/>
          <w:kern w:val="2"/>
          <w:sz w:val="21"/>
          <w:szCs w:val="21"/>
          <w:lang w:val="en-US" w:eastAsia="zh-CN" w:bidi="ar-SA"/>
        </w:rPr>
        <w:t>等产品要素可能存在差异，因此，产品合同中的相关内容将按照不同份额进行表述。</w:t>
      </w:r>
      <w:r>
        <w:rPr>
          <w:rFonts w:hint="eastAsia" w:ascii="Times New Roman" w:hAnsi="Times New Roman" w:eastAsia="宋体" w:cs="Times New Roman"/>
          <w:kern w:val="0"/>
          <w:sz w:val="21"/>
          <w:szCs w:val="24"/>
          <w:highlight w:val="none"/>
          <w:lang w:val="en-US" w:eastAsia="zh-CN" w:bidi="ar-SA"/>
        </w:rPr>
        <w:fldChar w:fldCharType="begin">
          <w:ffData>
            <w:name w:val="正文"/>
            <w:enabled/>
            <w:calcOnExit w:val="0"/>
            <w:textInput>
              <w:default w:val="N份额"/>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fldChar w:fldCharType="end"/>
      </w:r>
      <w:r>
        <w:rPr>
          <w:rFonts w:hint="eastAsia" w:ascii="宋体" w:hAnsi="宋体" w:eastAsia="宋体" w:cs="宋体"/>
          <w:b w:val="0"/>
          <w:bCs/>
          <w:kern w:val="2"/>
          <w:sz w:val="21"/>
          <w:szCs w:val="21"/>
          <w:lang w:val="en-US" w:eastAsia="zh-CN" w:bidi="ar-SA"/>
        </w:rPr>
        <w:t>主要要素信息更新如下：</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fldChar w:fldCharType="begin">
          <w:ffData>
            <w:name w:val="Text3"/>
            <w:enabled/>
            <w:calcOnExit w:val="0"/>
            <w:textInput>
              <w:default w:val="一、“一、理财产品基本信息”中："/>
            </w:textInput>
          </w:ffData>
        </w:fldChar>
      </w:r>
      <w:r>
        <w:rPr>
          <w:rFonts w:hint="eastAsia" w:ascii="宋体" w:hAnsi="宋体" w:eastAsia="宋体" w:cs="宋体"/>
          <w:b w:val="0"/>
          <w:bCs/>
          <w:kern w:val="2"/>
          <w:sz w:val="21"/>
          <w:szCs w:val="21"/>
          <w:lang w:val="en-US" w:eastAsia="zh-CN" w:bidi="ar-SA"/>
        </w:rPr>
        <w:instrText xml:space="preserve">FORMTEXT</w:instrText>
      </w:r>
      <w:r>
        <w:rPr>
          <w:rFonts w:hint="eastAsia" w:ascii="宋体" w:hAnsi="宋体" w:eastAsia="宋体" w:cs="宋体"/>
          <w:b w:val="0"/>
          <w:bCs/>
          <w:kern w:val="2"/>
          <w:sz w:val="21"/>
          <w:szCs w:val="21"/>
          <w:lang w:val="en-US" w:eastAsia="zh-CN" w:bidi="ar-SA"/>
        </w:rPr>
        <w:fldChar w:fldCharType="separate"/>
      </w:r>
      <w:r>
        <w:rPr>
          <w:rFonts w:hint="eastAsia" w:ascii="宋体" w:hAnsi="宋体" w:eastAsia="宋体" w:cs="宋体"/>
          <w:b w:val="0"/>
          <w:bCs/>
          <w:kern w:val="2"/>
          <w:sz w:val="21"/>
          <w:szCs w:val="21"/>
          <w:lang w:val="en-US" w:eastAsia="zh-CN" w:bidi="ar-SA"/>
        </w:rPr>
        <w:t>一、“一、理财产品基本信息”中：</w:t>
      </w:r>
      <w:r>
        <w:rPr>
          <w:rFonts w:hint="eastAsia" w:ascii="宋体" w:hAnsi="宋体" w:eastAsia="宋体" w:cs="宋体"/>
          <w:b w:val="0"/>
          <w:bCs/>
          <w:kern w:val="2"/>
          <w:sz w:val="21"/>
          <w:szCs w:val="21"/>
          <w:lang w:val="en-US" w:eastAsia="zh-CN" w:bidi="ar-SA"/>
        </w:rPr>
        <w:fldChar w:fldCharType="end"/>
      </w:r>
    </w:p>
    <w:tbl>
      <w:tblPr>
        <w:tblStyle w:val="3"/>
        <w:tblW w:w="9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6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产品代码</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bookmarkStart w:id="4" w:name="正文"/>
            <w:r>
              <w:rPr>
                <w:rFonts w:hint="eastAsia" w:ascii="Times New Roman" w:hAnsi="Times New Roman" w:eastAsia="宋体" w:cs="Times New Roman"/>
                <w:kern w:val="0"/>
                <w:sz w:val="21"/>
                <w:szCs w:val="24"/>
                <w:highlight w:val="none"/>
                <w:lang w:val="en-US" w:eastAsia="zh-CN" w:bidi="ar-SA"/>
              </w:rPr>
              <w:fldChar w:fldCharType="begin">
                <w:ffData>
                  <w:name w:val="正文"/>
                  <w:enabled/>
                  <w:calcOnExit w:val="0"/>
                  <w:textInput>
                    <w:default w:val="N份额：FBAE41113N"/>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N份额：FBAE41113N</w:t>
            </w:r>
            <w:r>
              <w:rPr>
                <w:rFonts w:hint="eastAsia" w:ascii="Times New Roman" w:hAnsi="Times New Roman" w:eastAsia="宋体" w:cs="Times New Roman"/>
                <w:kern w:val="0"/>
                <w:sz w:val="21"/>
                <w:szCs w:val="24"/>
                <w:highlight w:val="none"/>
                <w:lang w:val="en-US" w:eastAsia="zh-CN" w:bidi="ar-SA"/>
              </w:rPr>
              <w:fldChar w:fldCharType="end"/>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color w:val="000000"/>
                <w:kern w:val="0"/>
                <w:highlight w:val="none"/>
              </w:rPr>
            </w:pPr>
            <w:r>
              <w:rPr>
                <w:kern w:val="0"/>
                <w:highlight w:val="none"/>
              </w:rPr>
              <w:t>销售对象及适合投资者</w:t>
            </w:r>
          </w:p>
        </w:tc>
        <w:tc>
          <w:tcPr>
            <w:tcW w:w="6837" w:type="dxa"/>
            <w:tcBorders>
              <w:top w:val="single" w:color="auto" w:sz="4" w:space="0"/>
              <w:left w:val="single" w:color="auto" w:sz="4" w:space="0"/>
              <w:bottom w:val="single" w:color="auto" w:sz="4" w:space="0"/>
              <w:right w:val="single" w:color="auto" w:sz="4" w:space="0"/>
            </w:tcBorders>
            <w:vAlign w:val="top"/>
          </w:tcPr>
          <w:p>
            <w:pPr>
              <w:keepLines w:val="0"/>
              <w:pageBreakBefore w:val="0"/>
              <w:kinsoku/>
              <w:wordWrap/>
              <w:overflowPunct/>
              <w:topLinePunct w:val="0"/>
              <w:bidi w:val="0"/>
              <w:spacing w:beforeLines="0" w:afterLines="0" w:line="360" w:lineRule="auto"/>
              <w:ind w:right="0" w:rightChars="0"/>
              <w:textAlignment w:val="auto"/>
              <w:rPr>
                <w:color w:val="000000"/>
                <w:kern w:val="0"/>
                <w:highlight w:val="none"/>
              </w:rPr>
            </w:pPr>
            <w:r>
              <w:rPr>
                <w:kern w:val="44"/>
                <w:highlight w:val="none"/>
                <w:lang w:bidi="ar"/>
              </w:rPr>
              <w:t>本理财产品面向不特定社会公众销售</w:t>
            </w:r>
            <w:bookmarkStart w:id="5" w:name="Text74"/>
            <w:bookmarkStart w:id="6" w:name="Text11"/>
            <w:bookmarkStart w:id="7" w:name="Text52"/>
            <w:r>
              <w:rPr>
                <w:rFonts w:ascii="Times New Roman" w:hAnsi="Times New Roman" w:eastAsia="宋体" w:cs="Times New Roman"/>
                <w:kern w:val="44"/>
                <w:sz w:val="21"/>
                <w:szCs w:val="24"/>
                <w:highlight w:val="none"/>
                <w:lang w:val="en-US" w:eastAsia="zh-CN" w:bidi="ar"/>
              </w:rPr>
              <w:fldChar w:fldCharType="begin">
                <w:ffData>
                  <w:name w:val="Text74"/>
                  <w:enabled/>
                  <w:calcOnExit w:val="0"/>
                  <w:textInput>
                    <w:default w:val="。其中，N份额：非民生银行客户，具体以销售服务机构为准。"/>
                  </w:textInput>
                </w:ffData>
              </w:fldChar>
            </w:r>
            <w:r>
              <w:rPr>
                <w:rFonts w:ascii="Times New Roman" w:hAnsi="Times New Roman" w:eastAsia="宋体" w:cs="Times New Roman"/>
                <w:kern w:val="44"/>
                <w:sz w:val="21"/>
                <w:szCs w:val="24"/>
                <w:highlight w:val="none"/>
                <w:lang w:val="en-US" w:eastAsia="zh-CN" w:bidi="ar"/>
              </w:rPr>
              <w:instrText xml:space="preserve">FORMTEXT</w:instrText>
            </w:r>
            <w:r>
              <w:rPr>
                <w:rFonts w:ascii="Times New Roman" w:hAnsi="Times New Roman" w:eastAsia="宋体" w:cs="Times New Roman"/>
                <w:kern w:val="44"/>
                <w:sz w:val="21"/>
                <w:szCs w:val="24"/>
                <w:highlight w:val="none"/>
                <w:lang w:val="en-US" w:eastAsia="zh-CN" w:bidi="ar"/>
              </w:rPr>
              <w:fldChar w:fldCharType="separate"/>
            </w:r>
            <w:r>
              <w:rPr>
                <w:rFonts w:ascii="Times New Roman" w:hAnsi="Times New Roman" w:eastAsia="宋体" w:cs="Times New Roman"/>
                <w:kern w:val="44"/>
                <w:sz w:val="21"/>
                <w:szCs w:val="24"/>
                <w:highlight w:val="none"/>
                <w:lang w:val="en-US" w:eastAsia="zh-CN" w:bidi="ar"/>
              </w:rPr>
              <w:t>。其中，N份额：非民生银行客户，具体以销售服务机构为准。</w:t>
            </w:r>
            <w:r>
              <w:rPr>
                <w:rFonts w:ascii="Times New Roman" w:hAnsi="Times New Roman" w:eastAsia="宋体" w:cs="Times New Roman"/>
                <w:kern w:val="44"/>
                <w:sz w:val="21"/>
                <w:szCs w:val="24"/>
                <w:highlight w:val="none"/>
                <w:lang w:val="en-US" w:eastAsia="zh-CN" w:bidi="ar"/>
              </w:rPr>
              <w:fldChar w:fldCharType="end"/>
            </w:r>
            <w:bookmarkEnd w:id="5"/>
            <w:r>
              <w:rPr>
                <w:rFonts w:ascii="Calibri" w:hAnsi="Calibri" w:eastAsia="宋体" w:cs="Times New Roman"/>
                <w:kern w:val="44"/>
                <w:sz w:val="21"/>
                <w:szCs w:val="24"/>
                <w:highlight w:val="none"/>
                <w:lang w:val="en-US" w:eastAsia="zh-CN" w:bidi="ar"/>
              </w:rPr>
              <w:fldChar w:fldCharType="begin">
                <w:ffData>
                  <w:name w:val="Text11"/>
                  <w:enabled/>
                  <w:calcOnExit w:val="0"/>
                  <w:textInput>
                    <w:default w:val="经理财产品管理人评估，购买本理财产品的投资者的风险承受能力评级须为稳健型、平衡型、进取型和激进型。"/>
                  </w:textInput>
                </w:ffData>
              </w:fldChar>
            </w:r>
            <w:r>
              <w:rPr>
                <w:rFonts w:ascii="Calibri" w:hAnsi="Calibri" w:eastAsia="宋体" w:cs="Times New Roman"/>
                <w:kern w:val="44"/>
                <w:sz w:val="21"/>
                <w:szCs w:val="24"/>
                <w:highlight w:val="none"/>
                <w:lang w:val="en-US" w:eastAsia="zh-CN" w:bidi="ar"/>
              </w:rPr>
              <w:instrText xml:space="preserve">FORMTEXT</w:instrText>
            </w:r>
            <w:r>
              <w:rPr>
                <w:rFonts w:ascii="Calibri" w:hAnsi="Calibri" w:eastAsia="宋体" w:cs="Times New Roman"/>
                <w:kern w:val="44"/>
                <w:sz w:val="21"/>
                <w:szCs w:val="24"/>
                <w:highlight w:val="none"/>
                <w:lang w:val="en-US" w:eastAsia="zh-CN" w:bidi="ar"/>
              </w:rPr>
              <w:fldChar w:fldCharType="separate"/>
            </w:r>
            <w:r>
              <w:rPr>
                <w:rFonts w:ascii="Calibri" w:hAnsi="Calibri" w:eastAsia="宋体" w:cs="Times New Roman"/>
                <w:kern w:val="44"/>
                <w:sz w:val="21"/>
                <w:szCs w:val="24"/>
                <w:highlight w:val="none"/>
                <w:lang w:val="en-US" w:eastAsia="zh-CN" w:bidi="ar"/>
              </w:rPr>
              <w:t>经理财产品管理人评估，购买本理财产品的投资者的风险承受能力评级须为稳健型、平衡型、进取型和激进型。</w:t>
            </w:r>
            <w:r>
              <w:rPr>
                <w:rFonts w:ascii="Calibri" w:hAnsi="Calibri" w:eastAsia="宋体" w:cs="Times New Roman"/>
                <w:kern w:val="44"/>
                <w:sz w:val="21"/>
                <w:szCs w:val="24"/>
                <w:highlight w:val="none"/>
                <w:lang w:val="en-US" w:eastAsia="zh-CN" w:bidi="ar"/>
              </w:rPr>
              <w:fldChar w:fldCharType="end"/>
            </w:r>
            <w:bookmarkEnd w:id="6"/>
            <w:r>
              <w:rPr>
                <w:kern w:val="44"/>
                <w:sz w:val="21"/>
                <w:szCs w:val="24"/>
                <w:highlight w:val="none"/>
                <w:lang w:val="en-US" w:eastAsia="zh-CN" w:bidi="ar"/>
              </w:rPr>
              <w:fldChar w:fldCharType="begin">
                <w:ffData>
                  <w:name w:val="Text52"/>
                  <w:enabled/>
                  <w:calcOnExit w:val="0"/>
                  <w:textInput>
                    <w:default w:val="本理财产品通过代理销售机构渠道销售的，如代理销售机构对本理财产品的风险评级与管理人评级不一致，以代理销售机构最终披露的评级结果对应的销售对象及适合投资者为准。如代理销售机构适用和管理人不同的投资者与理财产品的匹配方法，以代理销售机构向投资者最终披露的匹配方法为准。"/>
                  </w:textInput>
                </w:ffData>
              </w:fldChar>
            </w:r>
            <w:r>
              <w:rPr>
                <w:kern w:val="44"/>
                <w:sz w:val="21"/>
                <w:szCs w:val="24"/>
                <w:highlight w:val="none"/>
                <w:lang w:val="en-US" w:eastAsia="zh-CN" w:bidi="ar"/>
              </w:rPr>
              <w:instrText xml:space="preserve">FORMTEXT</w:instrText>
            </w:r>
            <w:r>
              <w:rPr>
                <w:kern w:val="44"/>
                <w:sz w:val="21"/>
                <w:szCs w:val="24"/>
                <w:highlight w:val="none"/>
                <w:lang w:val="en-US" w:eastAsia="zh-CN" w:bidi="ar"/>
              </w:rPr>
              <w:fldChar w:fldCharType="separate"/>
            </w:r>
            <w:r>
              <w:rPr>
                <w:kern w:val="44"/>
                <w:sz w:val="21"/>
                <w:szCs w:val="24"/>
                <w:highlight w:val="none"/>
                <w:lang w:val="en-US" w:eastAsia="zh-CN" w:bidi="ar"/>
              </w:rPr>
              <w:t>本理财产品通过代理销售机构渠道销售的，如代理销售机构对本理财产品的风险评级与管理人评级不一致，以代理销售机构最终披露的评级结果对应的销售对象及适合投资者为准。如代理销售机构适用和管理人不同的投资者与理财产品的匹配方法，以代理销售机构向投资者最终披露的匹配方法为准。</w:t>
            </w:r>
            <w:r>
              <w:rPr>
                <w:kern w:val="44"/>
                <w:sz w:val="21"/>
                <w:szCs w:val="24"/>
                <w:highlight w:val="none"/>
                <w:lang w:val="en-US" w:eastAsia="zh-CN" w:bidi="ar"/>
              </w:rPr>
              <w:fldChar w:fldCharType="end"/>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认购/申购起点金额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bookmarkStart w:id="8" w:name="Text60"/>
            <w:r>
              <w:rPr>
                <w:rFonts w:hint="eastAsia"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P份额：【1】元。"/>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t>：【1】元。</w:t>
            </w:r>
            <w:r>
              <w:rPr>
                <w:rFonts w:hint="eastAsia" w:ascii="Times New Roman" w:hAnsi="Times New Roman" w:eastAsia="宋体" w:cs="Times New Roman"/>
                <w:kern w:val="0"/>
                <w:sz w:val="21"/>
                <w:szCs w:val="24"/>
                <w:highlight w:val="none"/>
                <w:lang w:val="en-US" w:eastAsia="zh-CN" w:bidi="ar-SA"/>
              </w:rPr>
              <w:fldChar w:fldCharType="end"/>
            </w:r>
            <w:bookmarkEnd w:id="8"/>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认购/申购递增金额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r>
              <w:rPr>
                <w:rFonts w:hint="eastAsia"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P份额：【1】元。"/>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t>：【1】元。</w:t>
            </w:r>
            <w:r>
              <w:rPr>
                <w:rFonts w:hint="eastAsia" w:ascii="Times New Roman" w:hAnsi="Times New Roman" w:eastAsia="宋体" w:cs="Times New Roman"/>
                <w:kern w:val="0"/>
                <w:sz w:val="21"/>
                <w:szCs w:val="24"/>
                <w:highlight w:val="none"/>
                <w:lang w:val="en-US" w:eastAsia="zh-CN" w:bidi="ar-SA"/>
              </w:rPr>
              <w:fldChar w:fldCharType="end"/>
            </w:r>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最小赎回份额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r>
              <w:rPr>
                <w:rFonts w:hint="eastAsia" w:ascii="Times New Roman" w:hAnsi="Times New Roman" w:eastAsia="宋体" w:cs="Times New Roman"/>
                <w:kern w:val="44"/>
                <w:sz w:val="21"/>
                <w:szCs w:val="24"/>
                <w:highlight w:val="none"/>
                <w:lang w:val="en-US" w:eastAsia="zh-CN" w:bidi="ar"/>
              </w:rPr>
              <w:fldChar w:fldCharType="begin">
                <w:ffData>
                  <w:name w:val="Text3"/>
                  <w:enabled/>
                  <w:calcOnExit w:val="0"/>
                  <w:textInput>
                    <w:default w:val="P份额：【0.01】份。"/>
                  </w:textInput>
                </w:ffData>
              </w:fldChar>
            </w:r>
            <w:r>
              <w:rPr>
                <w:rFonts w:hint="eastAsia" w:ascii="Times New Roman" w:hAnsi="Times New Roman" w:eastAsia="宋体" w:cs="Times New Roman"/>
                <w:kern w:val="44"/>
                <w:sz w:val="21"/>
                <w:szCs w:val="24"/>
                <w:highlight w:val="none"/>
                <w:lang w:val="en-US" w:eastAsia="zh-CN" w:bidi="ar"/>
              </w:rPr>
              <w:instrText xml:space="preserve">FORMTEXT</w:instrText>
            </w:r>
            <w:r>
              <w:rPr>
                <w:rFonts w:hint="eastAsia" w:ascii="Times New Roman" w:hAnsi="Times New Roman" w:eastAsia="宋体" w:cs="Times New Roman"/>
                <w:kern w:val="44"/>
                <w:sz w:val="21"/>
                <w:szCs w:val="24"/>
                <w:highlight w:val="none"/>
                <w:lang w:val="en-US" w:eastAsia="zh-CN" w:bidi="ar"/>
              </w:rPr>
              <w:fldChar w:fldCharType="separate"/>
            </w:r>
            <w:r>
              <w:rPr>
                <w:rFonts w:hint="eastAsia" w:ascii="Times New Roman" w:hAnsi="Times New Roman" w:cs="Times New Roman"/>
                <w:kern w:val="44"/>
                <w:sz w:val="21"/>
                <w:szCs w:val="24"/>
                <w:highlight w:val="none"/>
                <w:lang w:val="en-US" w:eastAsia="zh-CN" w:bidi="ar"/>
              </w:rPr>
              <w:t>N份额</w:t>
            </w:r>
            <w:r>
              <w:rPr>
                <w:rFonts w:hint="eastAsia" w:ascii="Times New Roman" w:hAnsi="Times New Roman" w:eastAsia="宋体" w:cs="Times New Roman"/>
                <w:kern w:val="44"/>
                <w:sz w:val="21"/>
                <w:szCs w:val="24"/>
                <w:highlight w:val="none"/>
                <w:lang w:val="en-US" w:eastAsia="zh-CN" w:bidi="ar"/>
              </w:rPr>
              <w:t>：【0.01】份。</w:t>
            </w:r>
            <w:r>
              <w:rPr>
                <w:rFonts w:hint="eastAsia" w:ascii="Times New Roman" w:hAnsi="Times New Roman" w:eastAsia="宋体" w:cs="Times New Roman"/>
                <w:kern w:val="44"/>
                <w:sz w:val="21"/>
                <w:szCs w:val="24"/>
                <w:highlight w:val="none"/>
                <w:lang w:val="en-US" w:eastAsia="zh-CN" w:bidi="ar"/>
              </w:rPr>
              <w:fldChar w:fldCharType="end"/>
            </w:r>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最低持有份额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r>
              <w:rPr>
                <w:rFonts w:hint="eastAsia" w:ascii="Times New Roman" w:hAnsi="Times New Roman" w:eastAsia="宋体" w:cs="Times New Roman"/>
                <w:kern w:val="44"/>
                <w:sz w:val="21"/>
                <w:szCs w:val="24"/>
                <w:highlight w:val="none"/>
                <w:lang w:val="en-US" w:eastAsia="zh-CN" w:bidi="ar"/>
              </w:rPr>
              <w:fldChar w:fldCharType="begin">
                <w:ffData>
                  <w:name w:val="Text3"/>
                  <w:enabled/>
                  <w:calcOnExit w:val="0"/>
                  <w:textInput>
                    <w:default w:val="P份额：【0.01】份。"/>
                  </w:textInput>
                </w:ffData>
              </w:fldChar>
            </w:r>
            <w:r>
              <w:rPr>
                <w:rFonts w:hint="eastAsia" w:ascii="Times New Roman" w:hAnsi="Times New Roman" w:eastAsia="宋体" w:cs="Times New Roman"/>
                <w:kern w:val="44"/>
                <w:sz w:val="21"/>
                <w:szCs w:val="24"/>
                <w:highlight w:val="none"/>
                <w:lang w:val="en-US" w:eastAsia="zh-CN" w:bidi="ar"/>
              </w:rPr>
              <w:instrText xml:space="preserve">FORMTEXT</w:instrText>
            </w:r>
            <w:r>
              <w:rPr>
                <w:rFonts w:hint="eastAsia" w:ascii="Times New Roman" w:hAnsi="Times New Roman" w:eastAsia="宋体" w:cs="Times New Roman"/>
                <w:kern w:val="44"/>
                <w:sz w:val="21"/>
                <w:szCs w:val="24"/>
                <w:highlight w:val="none"/>
                <w:lang w:val="en-US" w:eastAsia="zh-CN" w:bidi="ar"/>
              </w:rPr>
              <w:fldChar w:fldCharType="separate"/>
            </w:r>
            <w:r>
              <w:rPr>
                <w:rFonts w:hint="eastAsia" w:ascii="Times New Roman" w:hAnsi="Times New Roman" w:cs="Times New Roman"/>
                <w:kern w:val="44"/>
                <w:sz w:val="21"/>
                <w:szCs w:val="24"/>
                <w:highlight w:val="none"/>
                <w:lang w:val="en-US" w:eastAsia="zh-CN" w:bidi="ar"/>
              </w:rPr>
              <w:t>N份额</w:t>
            </w:r>
            <w:r>
              <w:rPr>
                <w:rFonts w:hint="eastAsia" w:ascii="Times New Roman" w:hAnsi="Times New Roman" w:eastAsia="宋体" w:cs="Times New Roman"/>
                <w:kern w:val="44"/>
                <w:sz w:val="21"/>
                <w:szCs w:val="24"/>
                <w:highlight w:val="none"/>
                <w:lang w:val="en-US" w:eastAsia="zh-CN" w:bidi="ar"/>
              </w:rPr>
              <w:t>：【0.01】份。</w:t>
            </w:r>
            <w:r>
              <w:rPr>
                <w:rFonts w:hint="eastAsia" w:ascii="Times New Roman" w:hAnsi="Times New Roman" w:eastAsia="宋体" w:cs="Times New Roman"/>
                <w:kern w:val="44"/>
                <w:sz w:val="21"/>
                <w:szCs w:val="24"/>
                <w:highlight w:val="none"/>
                <w:lang w:val="en-US" w:eastAsia="zh-CN" w:bidi="ar"/>
              </w:rPr>
              <w:fldChar w:fldCharType="end"/>
            </w:r>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w:t>
            </w:r>
            <w:r>
              <w:rPr>
                <w:rFonts w:hint="eastAsia"/>
                <w:color w:val="000000"/>
                <w:kern w:val="0"/>
                <w:szCs w:val="21"/>
                <w:highlight w:val="none"/>
                <w:lang w:eastAsia="zh-CN"/>
              </w:rPr>
              <w:t>金额限制</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rFonts w:hint="eastAsia" w:ascii="Times New Roman" w:hAnsi="Times New Roman" w:eastAsia="宋体" w:cs="Times New Roman"/>
                <w:kern w:val="0"/>
                <w:sz w:val="21"/>
                <w:szCs w:val="24"/>
                <w:highlight w:val="none"/>
                <w:lang w:val="en-US" w:eastAsia="zh-CN" w:bidi="ar-SA"/>
              </w:rPr>
            </w:pPr>
            <w:r>
              <w:rPr>
                <w:rFonts w:hint="eastAsia" w:ascii="Times New Roman" w:hAnsi="Times New Roman" w:eastAsia="宋体" w:cs="Times New Roman"/>
                <w:kern w:val="0"/>
                <w:sz w:val="21"/>
                <w:szCs w:val="24"/>
                <w:highlight w:val="none"/>
                <w:lang w:val="en-US" w:eastAsia="zh-CN" w:bidi="ar-SA"/>
              </w:rPr>
              <w:fldChar w:fldCharType="begin">
                <w:ffData>
                  <w:name w:val="Text43"/>
                  <w:enabled/>
                  <w:calcOnExit w:val="0"/>
                  <w:textInput>
                    <w:default w:val="P份额：无限制。"/>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t>：无限制。</w:t>
            </w:r>
            <w:r>
              <w:rPr>
                <w:rFonts w:hint="eastAsia" w:ascii="Times New Roman" w:hAnsi="Times New Roman" w:eastAsia="宋体" w:cs="Times New Roman"/>
                <w:kern w:val="0"/>
                <w:sz w:val="21"/>
                <w:szCs w:val="24"/>
                <w:highlight w:val="none"/>
                <w:lang w:val="en-US" w:eastAsia="zh-CN" w:bidi="ar-SA"/>
              </w:rPr>
              <w:fldChar w:fldCharType="end"/>
            </w:r>
          </w:p>
          <w:p>
            <w:pPr>
              <w:keepLines w:val="0"/>
              <w:pageBreakBefore w:val="0"/>
              <w:kinsoku/>
              <w:wordWrap/>
              <w:overflowPunct/>
              <w:topLinePunct w:val="0"/>
              <w:bidi w:val="0"/>
              <w:spacing w:beforeLines="0" w:afterLines="0" w:line="360" w:lineRule="auto"/>
              <w:ind w:right="0" w:rightChars="0"/>
              <w:textAlignment w:val="auto"/>
              <w:rPr>
                <w:kern w:val="44"/>
                <w:highlight w:val="none"/>
                <w:lang w:bidi="ar"/>
              </w:rPr>
            </w:pPr>
            <w:r>
              <w:rPr>
                <w:rFonts w:hint="eastAsia" w:ascii="Times New Roman" w:hAnsi="Times New Roman" w:eastAsia="宋体" w:cs="Times New Roman"/>
                <w:kern w:val="0"/>
                <w:sz w:val="21"/>
                <w:szCs w:val="24"/>
                <w:highlight w:val="none"/>
                <w:lang w:val="en-US" w:eastAsia="zh-CN" w:bidi="ar-SA"/>
              </w:rPr>
              <w:fldChar w:fldCharType="begin">
                <w:ffData>
                  <w:name w:val="Text43"/>
                  <w:enabled/>
                  <w:calcOnExit w:val="0"/>
                  <w:textInput>
                    <w:default w:val="管理人可对认购/申购金额限制进行调整，并以公告方式进行信息披露。"/>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管理人可对认购/申购金额限制进行调整，并以公告方式进行信息披露。</w:t>
            </w:r>
            <w:r>
              <w:rPr>
                <w:rFonts w:hint="eastAsia" w:ascii="Times New Roman" w:hAnsi="Times New Roman" w:eastAsia="宋体" w:cs="Times New Roman"/>
                <w:kern w:val="0"/>
                <w:sz w:val="21"/>
                <w:szCs w:val="24"/>
                <w:highlight w:val="none"/>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赎回</w:t>
            </w:r>
            <w:r>
              <w:rPr>
                <w:rFonts w:hint="eastAsia"/>
                <w:color w:val="000000"/>
                <w:kern w:val="0"/>
                <w:szCs w:val="21"/>
                <w:highlight w:val="none"/>
                <w:lang w:eastAsia="zh-CN"/>
              </w:rPr>
              <w:t>份额限制</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rFonts w:hint="eastAsia" w:ascii="Times New Roman" w:hAnsi="Times New Roman" w:eastAsia="宋体" w:cs="Times New Roman"/>
                <w:kern w:val="0"/>
                <w:sz w:val="21"/>
                <w:szCs w:val="24"/>
                <w:highlight w:val="none"/>
                <w:lang w:val="en-US" w:eastAsia="zh-CN" w:bidi="ar-SA"/>
              </w:rPr>
            </w:pPr>
            <w:r>
              <w:rPr>
                <w:rFonts w:hint="eastAsia" w:ascii="Times New Roman" w:hAnsi="Times New Roman" w:eastAsia="宋体" w:cs="Times New Roman"/>
                <w:kern w:val="0"/>
                <w:sz w:val="21"/>
                <w:szCs w:val="24"/>
                <w:highlight w:val="none"/>
                <w:lang w:val="en-US" w:eastAsia="zh-CN" w:bidi="ar-SA"/>
              </w:rPr>
              <w:fldChar w:fldCharType="begin">
                <w:ffData>
                  <w:name w:val="Text43"/>
                  <w:enabled/>
                  <w:calcOnExit w:val="0"/>
                  <w:textInput>
                    <w:default w:val="P份额：无限制。"/>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cs="Times New Roman"/>
                <w:kern w:val="0"/>
                <w:sz w:val="21"/>
                <w:szCs w:val="24"/>
                <w:highlight w:val="none"/>
                <w:lang w:val="en-US" w:eastAsia="zh-CN" w:bidi="ar-SA"/>
              </w:rPr>
              <w:t>N份额</w:t>
            </w:r>
            <w:r>
              <w:rPr>
                <w:rFonts w:hint="eastAsia" w:ascii="Times New Roman" w:hAnsi="Times New Roman" w:eastAsia="宋体" w:cs="Times New Roman"/>
                <w:kern w:val="0"/>
                <w:sz w:val="21"/>
                <w:szCs w:val="24"/>
                <w:highlight w:val="none"/>
                <w:lang w:val="en-US" w:eastAsia="zh-CN" w:bidi="ar-SA"/>
              </w:rPr>
              <w:t>：无限制。</w:t>
            </w:r>
            <w:r>
              <w:rPr>
                <w:rFonts w:hint="eastAsia" w:ascii="Times New Roman" w:hAnsi="Times New Roman" w:eastAsia="宋体" w:cs="Times New Roman"/>
                <w:kern w:val="0"/>
                <w:sz w:val="21"/>
                <w:szCs w:val="24"/>
                <w:highlight w:val="none"/>
                <w:lang w:val="en-US" w:eastAsia="zh-CN" w:bidi="ar-SA"/>
              </w:rPr>
              <w:fldChar w:fldCharType="end"/>
            </w:r>
          </w:p>
          <w:p>
            <w:pPr>
              <w:spacing w:beforeLines="0" w:afterLines="0" w:line="360" w:lineRule="auto"/>
              <w:rPr>
                <w:kern w:val="44"/>
                <w:highlight w:val="none"/>
                <w:lang w:bidi="ar"/>
              </w:rPr>
            </w:pPr>
            <w:r>
              <w:rPr>
                <w:rFonts w:hint="eastAsia" w:ascii="Times New Roman" w:hAnsi="Times New Roman" w:eastAsia="宋体" w:cs="Times New Roman"/>
                <w:kern w:val="0"/>
                <w:sz w:val="21"/>
                <w:szCs w:val="24"/>
                <w:highlight w:val="none"/>
                <w:lang w:val="en-US" w:eastAsia="zh-CN" w:bidi="ar-SA"/>
              </w:rPr>
              <w:fldChar w:fldCharType="begin">
                <w:ffData>
                  <w:name w:val="FileSave"/>
                  <w:enabled/>
                  <w:calcOnExit w:val="0"/>
                  <w:textInput>
                    <w:default w:val="管理人可对赎回份额限制进行调整，并以公告方式进行信息披露。"/>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管理人可对赎回份额限制进行调整，并以公告方式进行信息披露。</w:t>
            </w:r>
            <w:r>
              <w:rPr>
                <w:rFonts w:hint="eastAsia" w:ascii="Times New Roman" w:hAnsi="Times New Roman" w:eastAsia="宋体" w:cs="Times New Roman"/>
                <w:kern w:val="0"/>
                <w:sz w:val="21"/>
                <w:szCs w:val="24"/>
                <w:highlight w:val="none"/>
                <w:lang w:val="en-US" w:eastAsia="zh-CN" w:bidi="ar-SA"/>
              </w:rPr>
              <w:fldChar w:fldCharType="end"/>
            </w:r>
            <w:r>
              <w:rPr>
                <w:b/>
                <w:bCs/>
                <w:highlight w:val="none"/>
              </w:rPr>
              <w:t>如发生巨额赎回，</w:t>
            </w:r>
            <w:r>
              <w:rPr>
                <w:rFonts w:hint="eastAsia"/>
                <w:b/>
                <w:bCs/>
                <w:highlight w:val="none"/>
                <w:lang w:eastAsia="zh-CN"/>
              </w:rPr>
              <w:t>则</w:t>
            </w:r>
            <w:r>
              <w:rPr>
                <w:b/>
                <w:bCs/>
                <w:highlight w:val="none"/>
              </w:rPr>
              <w:t>按照理财产品合同约定的巨额赎回处理。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业绩比较基准</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rFonts w:hint="default" w:ascii="Times New Roman" w:hAnsi="Times New Roman" w:eastAsia="宋体" w:cs="Times New Roman"/>
                <w:kern w:val="0"/>
                <w:sz w:val="21"/>
                <w:szCs w:val="24"/>
                <w:highlight w:val="none"/>
                <w:lang w:val="en-US" w:eastAsia="zh-CN" w:bidi="ar-SA"/>
              </w:rPr>
            </w:pPr>
            <w:bookmarkStart w:id="9" w:name="Text43"/>
            <w:bookmarkStart w:id="10" w:name="Text80"/>
            <w:r>
              <w:rPr>
                <w:rFonts w:hint="default" w:ascii="Times New Roman" w:hAnsi="Times New Roman" w:eastAsia="宋体" w:cs="Times New Roman"/>
                <w:kern w:val="0"/>
                <w:sz w:val="21"/>
                <w:szCs w:val="24"/>
                <w:highlight w:val="none"/>
                <w:lang w:val="en-US" w:eastAsia="zh-CN" w:bidi="ar-SA"/>
              </w:rPr>
              <w:fldChar w:fldCharType="begin">
                <w:ffData>
                  <w:name w:val="Text43"/>
                  <w:enabled/>
                  <w:calcOnExit w:val="0"/>
                  <w:textInput>
                    <w:default w:val="中国人民银行公布的七天通知存款利率×80%+中债-新综合全价（1年以下）指数收益率×20%"/>
                  </w:textInput>
                </w:ffData>
              </w:fldChar>
            </w:r>
            <w:r>
              <w:rPr>
                <w:rFonts w:hint="default" w:ascii="Times New Roman" w:hAnsi="Times New Roman" w:eastAsia="宋体" w:cs="Times New Roman"/>
                <w:kern w:val="0"/>
                <w:sz w:val="21"/>
                <w:szCs w:val="24"/>
                <w:highlight w:val="none"/>
                <w:lang w:val="en-US" w:eastAsia="zh-CN" w:bidi="ar-SA"/>
              </w:rPr>
              <w:instrText xml:space="preserve">FORMTEXT</w:instrText>
            </w:r>
            <w:r>
              <w:rPr>
                <w:rFonts w:hint="default" w:ascii="Times New Roman" w:hAnsi="Times New Roman" w:eastAsia="宋体" w:cs="Times New Roman"/>
                <w:kern w:val="0"/>
                <w:sz w:val="21"/>
                <w:szCs w:val="24"/>
                <w:highlight w:val="none"/>
                <w:lang w:val="en-US" w:eastAsia="zh-CN" w:bidi="ar-SA"/>
              </w:rPr>
              <w:fldChar w:fldCharType="separate"/>
            </w:r>
            <w:r>
              <w:rPr>
                <w:rFonts w:hint="default" w:ascii="Times New Roman" w:hAnsi="Times New Roman" w:eastAsia="宋体" w:cs="Times New Roman"/>
                <w:kern w:val="0"/>
                <w:sz w:val="21"/>
                <w:szCs w:val="24"/>
                <w:highlight w:val="none"/>
                <w:lang w:val="en-US" w:eastAsia="zh-CN" w:bidi="ar-SA"/>
              </w:rPr>
              <w:t>中国人民银行公布的七天通知存款利率×80%+中债-新综合全价（1年以下）指数收益率×20%</w:t>
            </w:r>
            <w:r>
              <w:rPr>
                <w:rFonts w:hint="default" w:ascii="Times New Roman" w:hAnsi="Times New Roman" w:eastAsia="宋体" w:cs="Times New Roman"/>
                <w:kern w:val="0"/>
                <w:sz w:val="21"/>
                <w:szCs w:val="24"/>
                <w:highlight w:val="none"/>
                <w:lang w:val="en-US" w:eastAsia="zh-CN" w:bidi="ar-SA"/>
              </w:rPr>
              <w:fldChar w:fldCharType="end"/>
            </w:r>
            <w:bookmarkEnd w:id="9"/>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宋体" w:cs="Times New Roman"/>
                <w:kern w:val="0"/>
                <w:sz w:val="21"/>
                <w:szCs w:val="24"/>
                <w:highlight w:val="none"/>
                <w:lang w:val="en-US" w:eastAsia="zh-CN" w:bidi="ar-SA"/>
              </w:rPr>
            </w:pPr>
            <w:r>
              <w:rPr>
                <w:rFonts w:hint="default" w:ascii="Times New Roman" w:hAnsi="Times New Roman" w:eastAsia="宋体" w:cs="Times New Roman"/>
                <w:kern w:val="0"/>
                <w:sz w:val="21"/>
                <w:szCs w:val="24"/>
                <w:highlight w:val="none"/>
                <w:lang w:val="en-US" w:eastAsia="zh-CN" w:bidi="ar-SA"/>
              </w:rPr>
              <w:fldChar w:fldCharType="begin">
                <w:ffData>
                  <w:name w:val="Text80"/>
                  <w:enabled/>
                  <w:calcOnExit w:val="0"/>
                  <w:textInput>
                    <w:default w:val="业绩比较基准不是预期收益率，不代表产品的未来表现和实际收益，不构成对产品收益的承诺。本理财产品计划投资于固定收益类资产的比例不低于85%；投资于优先股、应纳入权益类资产的永续债等权益类资产的比例不超过10%；投资于商品及金融衍生品类资产的比例不超过5%。本业绩比较基准由管理人依据理财产品的投资范围及比例、投资策略、收益测算、产品费用，并综合考量市场环境等因素制定。"/>
                  </w:textInput>
                </w:ffData>
              </w:fldChar>
            </w:r>
            <w:r>
              <w:rPr>
                <w:rFonts w:hint="default" w:ascii="Times New Roman" w:hAnsi="Times New Roman" w:eastAsia="宋体" w:cs="Times New Roman"/>
                <w:kern w:val="0"/>
                <w:sz w:val="21"/>
                <w:szCs w:val="24"/>
                <w:highlight w:val="none"/>
                <w:lang w:val="en-US" w:eastAsia="zh-CN" w:bidi="ar-SA"/>
              </w:rPr>
              <w:instrText xml:space="preserve">FORMTEXT</w:instrText>
            </w:r>
            <w:r>
              <w:rPr>
                <w:rFonts w:hint="default" w:ascii="Times New Roman" w:hAnsi="Times New Roman" w:eastAsia="宋体" w:cs="Times New Roman"/>
                <w:kern w:val="0"/>
                <w:sz w:val="21"/>
                <w:szCs w:val="24"/>
                <w:highlight w:val="none"/>
                <w:lang w:val="en-US" w:eastAsia="zh-CN" w:bidi="ar-SA"/>
              </w:rPr>
              <w:fldChar w:fldCharType="separate"/>
            </w:r>
            <w:r>
              <w:rPr>
                <w:rFonts w:hint="default" w:ascii="Times New Roman" w:hAnsi="Times New Roman" w:eastAsia="宋体" w:cs="Times New Roman"/>
                <w:kern w:val="0"/>
                <w:sz w:val="21"/>
                <w:szCs w:val="24"/>
                <w:highlight w:val="none"/>
                <w:lang w:val="en-US" w:eastAsia="zh-CN" w:bidi="ar-SA"/>
              </w:rPr>
              <w:t>业绩比较基准不是预期收益率，不代表产品的未来表现和实际收益，不构成对产品收益的承诺。本理财产品计划投资于固定收益类资产的比例不低于85%；投资于优先股、应纳入权益类资产的永续债等权益类资产的比例不超过10%；投资于商品及金融衍生品类资产的比例不超过5%。本业绩比较基准由管理人依据理财产品的投资范围及比例、投资策略、收益测算、产品费用，并综合考量市场环境等因素制定。</w:t>
            </w:r>
            <w:r>
              <w:rPr>
                <w:rFonts w:hint="default" w:ascii="Times New Roman" w:hAnsi="Times New Roman" w:eastAsia="宋体" w:cs="Times New Roman"/>
                <w:kern w:val="0"/>
                <w:sz w:val="21"/>
                <w:szCs w:val="24"/>
                <w:highlight w:val="none"/>
                <w:lang w:val="en-US" w:eastAsia="zh-CN" w:bidi="ar-SA"/>
              </w:rPr>
              <w:fldChar w:fldCharType="end"/>
            </w:r>
            <w:bookmarkEnd w:id="10"/>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kern w:val="44"/>
                <w:highlight w:val="none"/>
                <w:lang w:bidi="ar"/>
              </w:rPr>
            </w:pPr>
            <w:r>
              <w:rPr>
                <w:rFonts w:hint="eastAsia" w:ascii="宋体" w:hAnsi="宋体" w:eastAsia="宋体" w:cs="宋体"/>
                <w:kern w:val="44"/>
                <w:sz w:val="21"/>
                <w:szCs w:val="24"/>
                <w:highlight w:val="none"/>
                <w:lang w:val="en-US" w:eastAsia="zh-CN" w:bidi="ar-SA"/>
              </w:rPr>
              <w:fldChar w:fldCharType="begin">
                <w:ffData>
                  <w:name w:val="Text39"/>
                  <w:enabled/>
                  <w:calcOnExit w:val="0"/>
                  <w:textInput>
                    <w:default w:val="备注：中债-新综合全价（1年以下）指数代码：CBA00113.CS"/>
                  </w:textInput>
                </w:ffData>
              </w:fldChar>
            </w:r>
            <w:r>
              <w:rPr>
                <w:rFonts w:hint="eastAsia" w:ascii="宋体" w:hAnsi="宋体" w:eastAsia="宋体" w:cs="宋体"/>
                <w:kern w:val="44"/>
                <w:sz w:val="21"/>
                <w:szCs w:val="24"/>
                <w:highlight w:val="none"/>
                <w:lang w:val="en-US" w:eastAsia="zh-CN" w:bidi="ar-SA"/>
              </w:rPr>
              <w:instrText xml:space="preserve">FORMTEXT</w:instrText>
            </w:r>
            <w:r>
              <w:rPr>
                <w:rFonts w:hint="eastAsia" w:ascii="宋体" w:hAnsi="宋体" w:eastAsia="宋体" w:cs="宋体"/>
                <w:kern w:val="44"/>
                <w:sz w:val="21"/>
                <w:szCs w:val="24"/>
                <w:highlight w:val="none"/>
                <w:lang w:val="en-US" w:eastAsia="zh-CN" w:bidi="ar-SA"/>
              </w:rPr>
              <w:fldChar w:fldCharType="separate"/>
            </w:r>
            <w:r>
              <w:rPr>
                <w:rFonts w:hint="eastAsia" w:ascii="宋体" w:hAnsi="宋体" w:eastAsia="宋体" w:cs="宋体"/>
                <w:kern w:val="44"/>
                <w:sz w:val="21"/>
                <w:szCs w:val="24"/>
                <w:highlight w:val="none"/>
                <w:lang w:val="en-US" w:eastAsia="zh-CN" w:bidi="ar-SA"/>
              </w:rPr>
              <w:t>备注：中债-新综合全价（1年以下）指数代码：CBA00113.CS</w:t>
            </w:r>
            <w:r>
              <w:rPr>
                <w:rFonts w:hint="eastAsia" w:ascii="宋体" w:hAnsi="宋体" w:eastAsia="宋体" w:cs="宋体"/>
                <w:kern w:val="44"/>
                <w:sz w:val="21"/>
                <w:szCs w:val="24"/>
                <w:highlight w:val="none"/>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jc w:val="center"/>
              <w:rPr>
                <w:color w:val="000000"/>
                <w:kern w:val="0"/>
                <w:szCs w:val="21"/>
                <w:highlight w:val="none"/>
              </w:rPr>
            </w:pPr>
            <w:r>
              <w:rPr>
                <w:rFonts w:ascii="Times New Roman" w:hAnsi="Times New Roman" w:cs="Times New Roman"/>
                <w:color w:val="000000"/>
                <w:kern w:val="0"/>
                <w:szCs w:val="21"/>
                <w:highlight w:val="none"/>
              </w:rPr>
              <w:t>产品费用</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1. 固定管理费率：</w:t>
            </w:r>
            <w:r>
              <w:rPr>
                <w:rFonts w:ascii="Times New Roman" w:hAnsi="Times New Roman" w:eastAsia="宋体" w:cs="Times New Roman"/>
                <w:kern w:val="0"/>
                <w:sz w:val="21"/>
                <w:szCs w:val="24"/>
                <w:highlight w:val="none"/>
                <w:lang w:val="en-US" w:eastAsia="zh-CN" w:bidi="ar-SA"/>
              </w:rPr>
              <w:fldChar w:fldCharType="begin">
                <w:ffData>
                  <w:name w:val="Text14"/>
                  <w:enabled/>
                  <w:calcOnExit w:val="0"/>
                  <w:textInput>
                    <w:default w:val="【0.50】%/年"/>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【0.50】%/年</w:t>
            </w:r>
            <w:r>
              <w:rPr>
                <w:rFonts w:ascii="Times New Roman" w:hAnsi="Times New Roman" w:eastAsia="宋体" w:cs="Times New Roman"/>
                <w:kern w:val="0"/>
                <w:sz w:val="21"/>
                <w:szCs w:val="24"/>
                <w:highlight w:val="none"/>
                <w:lang w:val="en-US" w:eastAsia="zh-CN" w:bidi="ar-SA"/>
              </w:rPr>
              <w:fldChar w:fldCharType="end"/>
            </w:r>
          </w:p>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2. 销售费率：</w:t>
            </w:r>
            <w:r>
              <w:rPr>
                <w:rFonts w:ascii="Times New Roman" w:hAnsi="Times New Roman" w:eastAsia="宋体" w:cs="Times New Roman"/>
                <w:kern w:val="0"/>
                <w:sz w:val="21"/>
                <w:szCs w:val="24"/>
                <w:highlight w:val="none"/>
                <w:lang w:val="en-US" w:eastAsia="zh-CN" w:bidi="ar-SA"/>
              </w:rPr>
              <w:fldChar w:fldCharType="begin">
                <w:ffData>
                  <w:name w:val="Text14"/>
                  <w:enabled/>
                  <w:calcOnExit w:val="0"/>
                  <w:textInput>
                    <w:default w:val="【0.50】%/年"/>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【0.50】%/年</w:t>
            </w:r>
            <w:r>
              <w:rPr>
                <w:rFonts w:ascii="Times New Roman" w:hAnsi="Times New Roman" w:eastAsia="宋体" w:cs="Times New Roman"/>
                <w:kern w:val="0"/>
                <w:sz w:val="21"/>
                <w:szCs w:val="24"/>
                <w:highlight w:val="none"/>
                <w:lang w:val="en-US" w:eastAsia="zh-CN" w:bidi="ar-SA"/>
              </w:rPr>
              <w:fldChar w:fldCharType="end"/>
            </w:r>
          </w:p>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3. 托管费率：</w:t>
            </w:r>
            <w:bookmarkStart w:id="11" w:name="Text14"/>
            <w:r>
              <w:rPr>
                <w:rFonts w:ascii="Times New Roman" w:hAnsi="Times New Roman" w:eastAsia="宋体" w:cs="Times New Roman"/>
                <w:kern w:val="0"/>
                <w:sz w:val="21"/>
                <w:szCs w:val="24"/>
                <w:highlight w:val="none"/>
                <w:lang w:val="en-US" w:eastAsia="zh-CN" w:bidi="ar-SA"/>
              </w:rPr>
              <w:fldChar w:fldCharType="begin">
                <w:ffData>
                  <w:name w:val="Text14"/>
                  <w:enabled/>
                  <w:calcOnExit w:val="0"/>
                  <w:textInput>
                    <w:default w:val="【0.01】%/年"/>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【0.01】%/年</w:t>
            </w:r>
            <w:r>
              <w:rPr>
                <w:rFonts w:ascii="Times New Roman" w:hAnsi="Times New Roman" w:eastAsia="宋体" w:cs="Times New Roman"/>
                <w:kern w:val="0"/>
                <w:sz w:val="21"/>
                <w:szCs w:val="24"/>
                <w:highlight w:val="none"/>
                <w:lang w:val="en-US" w:eastAsia="zh-CN" w:bidi="ar-SA"/>
              </w:rPr>
              <w:fldChar w:fldCharType="end"/>
            </w:r>
            <w:bookmarkEnd w:id="11"/>
          </w:p>
          <w:p>
            <w:pPr>
              <w:spacing w:line="360" w:lineRule="auto"/>
              <w:rPr>
                <w:b w:val="0"/>
                <w:bCs w:val="0"/>
              </w:rPr>
            </w:pPr>
            <w:r>
              <w:rPr>
                <w:b w:val="0"/>
                <w:bCs w:val="0"/>
                <w:kern w:val="0"/>
              </w:rPr>
              <w:fldChar w:fldCharType="begin">
                <w:ffData>
                  <w:name w:val="Text17"/>
                  <w:enabled/>
                  <w:calcOnExit w:val="0"/>
                  <w:textInput>
                    <w:default w:val="无。"/>
                  </w:textInput>
                </w:ffData>
              </w:fldChar>
            </w:r>
            <w:r>
              <w:rPr>
                <w:b w:val="0"/>
                <w:bCs w:val="0"/>
                <w:kern w:val="0"/>
              </w:rPr>
              <w:instrText xml:space="preserve">FORMTEXT</w:instrText>
            </w:r>
            <w:r>
              <w:rPr>
                <w:b w:val="0"/>
                <w:bCs w:val="0"/>
                <w:kern w:val="0"/>
              </w:rPr>
              <w:fldChar w:fldCharType="separate"/>
            </w:r>
            <w:r>
              <w:rPr>
                <w:rFonts w:hint="eastAsia"/>
                <w:b w:val="0"/>
                <w:bCs w:val="0"/>
                <w:kern w:val="0"/>
              </w:rPr>
              <w:t>4</w:t>
            </w:r>
            <w:r>
              <w:rPr>
                <w:b w:val="0"/>
                <w:bCs w:val="0"/>
                <w:kern w:val="0"/>
              </w:rPr>
              <w:t>. 业绩报酬：</w:t>
            </w:r>
            <w:r>
              <w:rPr>
                <w:b w:val="0"/>
                <w:bCs w:val="0"/>
                <w:kern w:val="0"/>
              </w:rPr>
              <w:fldChar w:fldCharType="begin">
                <w:ffData>
                  <w:name w:val="Text17"/>
                  <w:enabled/>
                  <w:calcOnExit w:val="0"/>
                  <w:textInput>
                    <w:default w:val="无。"/>
                  </w:textInput>
                </w:ffData>
              </w:fldChar>
            </w:r>
            <w:r>
              <w:rPr>
                <w:b w:val="0"/>
                <w:bCs w:val="0"/>
                <w:kern w:val="0"/>
              </w:rPr>
              <w:instrText xml:space="preserve">FORMTEXT</w:instrText>
            </w:r>
            <w:r>
              <w:rPr>
                <w:b w:val="0"/>
                <w:bCs w:val="0"/>
                <w:kern w:val="0"/>
              </w:rPr>
              <w:fldChar w:fldCharType="separate"/>
            </w:r>
            <w:r>
              <w:rPr>
                <w:b w:val="0"/>
                <w:bCs w:val="0"/>
                <w:kern w:val="0"/>
              </w:rPr>
              <w:t>无。</w:t>
            </w:r>
            <w:r>
              <w:rPr>
                <w:b w:val="0"/>
                <w:bCs w:val="0"/>
                <w:kern w:val="0"/>
              </w:rPr>
              <w:fldChar w:fldCharType="end"/>
            </w:r>
          </w:p>
          <w:p>
            <w:pPr>
              <w:spacing w:line="360" w:lineRule="auto"/>
              <w:rPr>
                <w:b w:val="0"/>
                <w:bCs w:val="0"/>
                <w:color w:val="000000"/>
                <w:kern w:val="0"/>
                <w:szCs w:val="21"/>
              </w:rPr>
            </w:pPr>
            <w:r>
              <w:rPr>
                <w:b w:val="0"/>
                <w:bCs w:val="0"/>
                <w:color w:val="000000"/>
                <w:kern w:val="0"/>
                <w:szCs w:val="21"/>
              </w:rPr>
              <w:t>5</w:t>
            </w:r>
            <w:r>
              <w:rPr>
                <w:rFonts w:hint="eastAsia"/>
                <w:b w:val="0"/>
                <w:bCs w:val="0"/>
                <w:color w:val="000000"/>
                <w:kern w:val="0"/>
                <w:szCs w:val="21"/>
              </w:rPr>
              <w:t>. 认购费率：</w:t>
            </w:r>
            <w:bookmarkStart w:id="12" w:name="批注引用"/>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bookmarkEnd w:id="12"/>
          </w:p>
          <w:p>
            <w:pPr>
              <w:spacing w:line="360" w:lineRule="auto"/>
              <w:rPr>
                <w:b w:val="0"/>
                <w:bCs w:val="0"/>
                <w:color w:val="000000"/>
                <w:kern w:val="0"/>
                <w:szCs w:val="21"/>
              </w:rPr>
            </w:pPr>
            <w:r>
              <w:rPr>
                <w:b w:val="0"/>
                <w:bCs w:val="0"/>
                <w:color w:val="000000"/>
                <w:kern w:val="0"/>
                <w:szCs w:val="21"/>
              </w:rPr>
              <w:t>6</w:t>
            </w:r>
            <w:r>
              <w:rPr>
                <w:rFonts w:hint="eastAsia"/>
                <w:b w:val="0"/>
                <w:bCs w:val="0"/>
                <w:color w:val="000000"/>
                <w:kern w:val="0"/>
                <w:szCs w:val="21"/>
              </w:rPr>
              <w:t>. 申购费率：</w:t>
            </w:r>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p>
          <w:p>
            <w:pPr>
              <w:spacing w:line="360" w:lineRule="auto"/>
              <w:rPr>
                <w:b w:val="0"/>
                <w:bCs w:val="0"/>
                <w:color w:val="000000"/>
                <w:kern w:val="0"/>
                <w:szCs w:val="21"/>
              </w:rPr>
            </w:pPr>
            <w:r>
              <w:rPr>
                <w:b w:val="0"/>
                <w:bCs w:val="0"/>
                <w:color w:val="000000"/>
                <w:kern w:val="0"/>
                <w:szCs w:val="21"/>
              </w:rPr>
              <w:t>7</w:t>
            </w:r>
            <w:r>
              <w:rPr>
                <w:rFonts w:hint="eastAsia"/>
                <w:b w:val="0"/>
                <w:bCs w:val="0"/>
                <w:color w:val="000000"/>
                <w:kern w:val="0"/>
                <w:szCs w:val="21"/>
              </w:rPr>
              <w:t>. 赎回费率：</w:t>
            </w:r>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p>
          <w:p>
            <w:pPr>
              <w:spacing w:beforeLines="0" w:afterLines="0" w:line="360" w:lineRule="auto"/>
              <w:rPr>
                <w:rFonts w:hint="default"/>
                <w:kern w:val="44"/>
                <w:sz w:val="21"/>
                <w:szCs w:val="24"/>
                <w:highlight w:val="none"/>
                <w:lang w:val="en-US" w:eastAsia="zh-CN" w:bidi="ar-SA"/>
              </w:rPr>
            </w:pPr>
            <w:bookmarkStart w:id="13" w:name="Text135"/>
            <w:r>
              <w:rPr>
                <w:rFonts w:hint="eastAsia"/>
                <w:b w:val="0"/>
                <w:bCs w:val="0"/>
                <w:kern w:val="2"/>
                <w:sz w:val="21"/>
                <w:szCs w:val="24"/>
                <w:lang w:val="en-US" w:eastAsia="zh-CN" w:bidi="ar-SA"/>
              </w:rPr>
              <w:fldChar w:fldCharType="begin">
                <w:ffData>
                  <w:name w:val="Text135"/>
                  <w:enabled/>
                  <w:calcOnExit w:val="0"/>
                  <w:textInput>
                    <w:default w:val="8. 其他费用：会计师费、律师费、交易费、手续费等按照国家有关法令规定属于理财资产应列支和承担的一切费用，具体以实际发生为准，按相关法令规定或合同约定支付"/>
                  </w:textInput>
                </w:ffData>
              </w:fldChar>
            </w:r>
            <w:r>
              <w:rPr>
                <w:rFonts w:hint="eastAsia"/>
                <w:b w:val="0"/>
                <w:bCs w:val="0"/>
                <w:kern w:val="2"/>
                <w:sz w:val="21"/>
                <w:szCs w:val="24"/>
                <w:lang w:val="en-US" w:eastAsia="zh-CN" w:bidi="ar-SA"/>
              </w:rPr>
              <w:instrText xml:space="preserve">FORMTEXT</w:instrText>
            </w:r>
            <w:r>
              <w:rPr>
                <w:rFonts w:hint="eastAsia"/>
                <w:b w:val="0"/>
                <w:bCs w:val="0"/>
                <w:kern w:val="2"/>
                <w:sz w:val="21"/>
                <w:szCs w:val="24"/>
                <w:lang w:val="en-US" w:eastAsia="zh-CN" w:bidi="ar-SA"/>
              </w:rPr>
              <w:fldChar w:fldCharType="separate"/>
            </w:r>
            <w:r>
              <w:rPr>
                <w:rFonts w:hint="eastAsia"/>
                <w:b w:val="0"/>
                <w:bCs w:val="0"/>
                <w:kern w:val="2"/>
                <w:sz w:val="21"/>
                <w:szCs w:val="24"/>
                <w:lang w:val="en-US" w:eastAsia="zh-CN" w:bidi="ar-SA"/>
              </w:rPr>
              <w:t>8. 其他费用：会计师费、律师费、交易费、手续费等按照国家有关法令规定属于理财资产应列支和承担的一切费用，具体以实际发生为准，按相关法令规定或合同约定支付</w:t>
            </w:r>
            <w:r>
              <w:rPr>
                <w:rFonts w:hint="eastAsia"/>
                <w:b w:val="0"/>
                <w:bCs w:val="0"/>
                <w:kern w:val="2"/>
                <w:sz w:val="21"/>
                <w:szCs w:val="24"/>
                <w:lang w:val="en-US" w:eastAsia="zh-CN" w:bidi="ar-SA"/>
              </w:rPr>
              <w:fldChar w:fldCharType="end"/>
            </w:r>
            <w:bookmarkEnd w:id="13"/>
            <w:r>
              <w:rPr>
                <w:b w:val="0"/>
                <w:bCs w:val="0"/>
                <w:kern w:val="0"/>
              </w:rPr>
              <w:t>。</w:t>
            </w:r>
            <w:r>
              <w:rPr>
                <w:b w:val="0"/>
                <w:bCs w:val="0"/>
                <w:kern w:val="0"/>
              </w:rPr>
              <w:fldChar w:fldCharType="end"/>
            </w:r>
          </w:p>
        </w:tc>
      </w:tr>
    </w:tbl>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default"/>
          <w:kern w:val="2"/>
          <w:sz w:val="21"/>
          <w:szCs w:val="24"/>
          <w:highlight w:val="none"/>
          <w:lang w:val="en-US" w:eastAsia="zh-CN" w:bidi="ar"/>
        </w:rPr>
      </w:pPr>
      <w:r>
        <w:rPr>
          <w:rFonts w:hint="eastAsia" w:ascii="宋体" w:hAnsi="宋体" w:cs="宋体"/>
          <w:bCs/>
          <w:szCs w:val="21"/>
        </w:rPr>
        <w:fldChar w:fldCharType="begin">
          <w:ffData>
            <w:name w:val="Text5"/>
            <w:enabled/>
            <w:calcOnExit w:val="0"/>
            <w:textInput>
              <w:default w:val="二、根据《理财公司理财产品销售管理暂行办法》的相关要求，同步更新本理财产品的销售服务机构信息："/>
            </w:textInput>
          </w:ffData>
        </w:fldChar>
      </w:r>
      <w:r>
        <w:rPr>
          <w:rFonts w:hint="eastAsia" w:ascii="宋体" w:hAnsi="宋体" w:cs="宋体"/>
          <w:bCs/>
          <w:szCs w:val="21"/>
        </w:rPr>
        <w:instrText xml:space="preserve">FORMTEXT</w:instrText>
      </w:r>
      <w:r>
        <w:rPr>
          <w:rFonts w:hint="eastAsia" w:ascii="宋体" w:hAnsi="宋体" w:cs="宋体"/>
          <w:bCs/>
          <w:szCs w:val="21"/>
        </w:rPr>
        <w:fldChar w:fldCharType="separate"/>
      </w:r>
      <w:r>
        <w:rPr>
          <w:rFonts w:hint="eastAsia" w:ascii="宋体" w:hAnsi="宋体" w:cs="宋体"/>
          <w:bCs/>
          <w:szCs w:val="21"/>
        </w:rPr>
        <w:t>二、根据《理财公司理财产品销售管理暂行办法》的相关要求，同步更新本理财产品的销售服务机构信息：</w:t>
      </w:r>
      <w:r>
        <w:rPr>
          <w:rFonts w:hint="eastAsia" w:ascii="宋体" w:hAnsi="宋体" w:cs="宋体"/>
          <w:bCs/>
          <w:szCs w:val="21"/>
        </w:rPr>
        <w:fldChar w:fldCharType="end"/>
      </w: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ascii="Calibri" w:hAnsi="Calibri" w:eastAsia="宋体" w:cs="Times New Roman"/>
          <w:kern w:val="2"/>
          <w:sz w:val="21"/>
          <w:szCs w:val="24"/>
          <w:highlight w:val="none"/>
          <w:lang w:val="en-US" w:eastAsia="zh-CN" w:bidi="ar"/>
        </w:rPr>
      </w:pPr>
      <w:r>
        <w:rPr>
          <w:rFonts w:hint="default" w:ascii="Calibri" w:hAnsi="Calibri" w:eastAsia="宋体" w:cs="Times New Roman"/>
          <w:kern w:val="2"/>
          <w:sz w:val="21"/>
          <w:szCs w:val="24"/>
          <w:highlight w:val="none"/>
          <w:lang w:val="en-US" w:eastAsia="zh-CN" w:bidi="ar"/>
        </w:rPr>
        <w:fldChar w:fldCharType="begin">
          <w:ffData>
            <w:name w:val="Text44"/>
            <w:enabled/>
            <w:calcOnExit w:val="0"/>
            <w:textInput>
              <w:default w:val="机构名称：中国民生银行股份有限公司&#13;&#10;注册地址：北京市西城区复兴门内大街2号&#13;&#10;官方网站：www.cmbc.com.cn&#13;&#10;客户服务热线：95568"/>
            </w:textInput>
          </w:ffData>
        </w:fldChar>
      </w:r>
      <w:r>
        <w:rPr>
          <w:rFonts w:hint="default" w:ascii="Calibri" w:hAnsi="Calibri" w:eastAsia="宋体" w:cs="Times New Roman"/>
          <w:kern w:val="2"/>
          <w:sz w:val="21"/>
          <w:szCs w:val="24"/>
          <w:highlight w:val="none"/>
          <w:lang w:val="en-US" w:eastAsia="zh-CN" w:bidi="ar"/>
        </w:rPr>
        <w:instrText xml:space="preserve">FORMTEXT</w:instrText>
      </w:r>
      <w:r>
        <w:rPr>
          <w:rFonts w:hint="default" w:ascii="Calibri" w:hAnsi="Calibri" w:eastAsia="宋体" w:cs="Times New Roman"/>
          <w:kern w:val="2"/>
          <w:sz w:val="21"/>
          <w:szCs w:val="24"/>
          <w:highlight w:val="none"/>
          <w:lang w:val="en-US" w:eastAsia="zh-CN" w:bidi="ar"/>
        </w:rPr>
        <w:fldChar w:fldCharType="separate"/>
      </w:r>
      <w:r>
        <w:rPr>
          <w:rFonts w:hint="default" w:ascii="Calibri" w:hAnsi="Calibri" w:eastAsia="宋体" w:cs="Times New Roman"/>
          <w:kern w:val="2"/>
          <w:sz w:val="21"/>
          <w:szCs w:val="24"/>
          <w:highlight w:val="none"/>
          <w:lang w:val="en-US" w:eastAsia="zh-CN" w:bidi="ar"/>
        </w:rPr>
        <w:t>机构名称：中国民生银行股份有限公司</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注册地址：北京市西城区复兴门内大街2号</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官方网站：www.cmbc.com.cn</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客户服务热线：95568</w:t>
      </w:r>
      <w:r>
        <w:rPr>
          <w:rFonts w:hint="default" w:ascii="Calibri" w:hAnsi="Calibri" w:eastAsia="宋体" w:cs="Times New Roman"/>
          <w:kern w:val="2"/>
          <w:sz w:val="21"/>
          <w:szCs w:val="24"/>
          <w:highlight w:val="none"/>
          <w:lang w:val="en-US" w:eastAsia="zh-CN" w:bidi="ar"/>
        </w:rPr>
        <w:fldChar w:fldCharType="end"/>
      </w: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ascii="Calibri" w:hAnsi="Calibri" w:eastAsia="宋体" w:cs="Times New Roman"/>
          <w:kern w:val="2"/>
          <w:sz w:val="21"/>
          <w:szCs w:val="24"/>
          <w:highlight w:val="none"/>
          <w:lang w:val="en-US" w:eastAsia="zh-CN" w:bidi="ar"/>
        </w:rPr>
      </w:pP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ascii="Calibri" w:hAnsi="Calibri" w:eastAsia="宋体" w:cs="Times New Roman"/>
          <w:kern w:val="2"/>
          <w:sz w:val="21"/>
          <w:szCs w:val="24"/>
          <w:highlight w:val="none"/>
          <w:lang w:val="en-US" w:eastAsia="zh-CN" w:bidi="ar"/>
        </w:rPr>
      </w:pPr>
      <w:r>
        <w:rPr>
          <w:rFonts w:hint="default" w:ascii="Calibri" w:hAnsi="Calibri" w:eastAsia="宋体" w:cs="Times New Roman"/>
          <w:kern w:val="2"/>
          <w:sz w:val="21"/>
          <w:szCs w:val="24"/>
          <w:highlight w:val="none"/>
          <w:lang w:val="en-US" w:eastAsia="zh-CN" w:bidi="ar"/>
        </w:rPr>
        <w:fldChar w:fldCharType="begin">
          <w:ffData>
            <w:name w:val="Text44"/>
            <w:enabled/>
            <w:calcOnExit w:val="0"/>
            <w:textInput>
              <w:default w:val="机构名称：嘉兴银行股份有限公司&#13;&#10;注册地址：浙江省嘉兴市昌盛南路1001号&#13;&#10;官方网站：www.bojx.com&#13;&#10;客户服务热线：96528"/>
            </w:textInput>
          </w:ffData>
        </w:fldChar>
      </w:r>
      <w:r>
        <w:rPr>
          <w:rFonts w:hint="default" w:ascii="Calibri" w:hAnsi="Calibri" w:eastAsia="宋体" w:cs="Times New Roman"/>
          <w:kern w:val="2"/>
          <w:sz w:val="21"/>
          <w:szCs w:val="24"/>
          <w:highlight w:val="none"/>
          <w:lang w:val="en-US" w:eastAsia="zh-CN" w:bidi="ar"/>
        </w:rPr>
        <w:instrText xml:space="preserve">FORMTEXT</w:instrText>
      </w:r>
      <w:r>
        <w:rPr>
          <w:rFonts w:hint="default" w:ascii="Calibri" w:hAnsi="Calibri" w:eastAsia="宋体" w:cs="Times New Roman"/>
          <w:kern w:val="2"/>
          <w:sz w:val="21"/>
          <w:szCs w:val="24"/>
          <w:highlight w:val="none"/>
          <w:lang w:val="en-US" w:eastAsia="zh-CN" w:bidi="ar"/>
        </w:rPr>
        <w:fldChar w:fldCharType="separate"/>
      </w:r>
      <w:r>
        <w:rPr>
          <w:rFonts w:hint="default" w:ascii="Calibri" w:hAnsi="Calibri" w:eastAsia="宋体" w:cs="Times New Roman"/>
          <w:kern w:val="2"/>
          <w:sz w:val="21"/>
          <w:szCs w:val="24"/>
          <w:highlight w:val="none"/>
          <w:lang w:val="en-US" w:eastAsia="zh-CN" w:bidi="ar"/>
        </w:rPr>
        <w:t>机构名称：嘉兴银行股份有限公司</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注册地址：浙江省嘉兴市昌盛南路1001号</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官方网站：www.bojx.com</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客户服务热线：96528</w:t>
      </w:r>
      <w:r>
        <w:rPr>
          <w:rFonts w:hint="default" w:ascii="Calibri" w:hAnsi="Calibri" w:eastAsia="宋体" w:cs="Times New Roman"/>
          <w:kern w:val="2"/>
          <w:sz w:val="21"/>
          <w:szCs w:val="24"/>
          <w:highlight w:val="none"/>
          <w:lang w:val="en-US" w:eastAsia="zh-CN" w:bidi="ar"/>
        </w:rPr>
        <w:fldChar w:fldCharType="end"/>
      </w: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ascii="Calibri" w:hAnsi="Calibri" w:eastAsia="宋体" w:cs="Times New Roman"/>
          <w:kern w:val="2"/>
          <w:sz w:val="21"/>
          <w:szCs w:val="24"/>
          <w:highlight w:val="none"/>
          <w:lang w:val="en-US" w:eastAsia="zh-CN" w:bidi="ar"/>
        </w:rPr>
      </w:pP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r>
        <w:rPr>
          <w:rFonts w:hint="default"/>
          <w:kern w:val="2"/>
          <w:sz w:val="21"/>
          <w:szCs w:val="24"/>
          <w:highlight w:val="none"/>
          <w:lang w:val="en-US" w:eastAsia="zh-CN" w:bidi="ar"/>
        </w:rPr>
        <w:fldChar w:fldCharType="begin">
          <w:ffData>
            <w:name w:val="Text44"/>
            <w:enabled/>
            <w:calcOnExit w:val="0"/>
            <w:textInput>
              <w:default w:val="机构名称：兴业银行股份有限公司&#13;&#10;注册地址：福建省福州市台江区江滨中大道398号兴业银行大厦&#13;&#10;官方网站：www.cib.com.cn&#13;&#10;客户服务热线：95561"/>
            </w:textInput>
          </w:ffData>
        </w:fldChar>
      </w:r>
      <w:r>
        <w:rPr>
          <w:rFonts w:hint="default"/>
          <w:kern w:val="2"/>
          <w:sz w:val="21"/>
          <w:szCs w:val="24"/>
          <w:highlight w:val="none"/>
          <w:lang w:val="en-US" w:eastAsia="zh-CN" w:bidi="ar"/>
        </w:rPr>
        <w:instrText xml:space="preserve">FORMTEXT</w:instrText>
      </w:r>
      <w:r>
        <w:rPr>
          <w:rFonts w:hint="default"/>
          <w:kern w:val="2"/>
          <w:sz w:val="21"/>
          <w:szCs w:val="24"/>
          <w:highlight w:val="none"/>
          <w:lang w:val="en-US" w:eastAsia="zh-CN" w:bidi="ar"/>
        </w:rPr>
        <w:fldChar w:fldCharType="separate"/>
      </w:r>
      <w:r>
        <w:rPr>
          <w:rFonts w:hint="default"/>
          <w:kern w:val="2"/>
          <w:sz w:val="21"/>
          <w:szCs w:val="24"/>
          <w:highlight w:val="none"/>
          <w:lang w:val="en-US" w:eastAsia="zh-CN" w:bidi="ar"/>
        </w:rPr>
        <w:t>机构名称：兴业银行股份有限公司</w:t>
      </w:r>
      <w:r>
        <w:rPr>
          <w:rFonts w:hint="default"/>
          <w:kern w:val="2"/>
          <w:sz w:val="21"/>
          <w:szCs w:val="24"/>
          <w:highlight w:val="none"/>
          <w:lang w:val="en-US" w:eastAsia="zh-CN" w:bidi="ar"/>
        </w:rPr>
        <w:cr/>
      </w:r>
      <w:r>
        <w:rPr>
          <w:rFonts w:hint="default"/>
          <w:kern w:val="2"/>
          <w:sz w:val="21"/>
          <w:szCs w:val="24"/>
          <w:highlight w:val="none"/>
          <w:lang w:val="en-US" w:eastAsia="zh-CN" w:bidi="ar"/>
        </w:rPr>
        <w:t>注册地址：福建省福州市台江区江滨中大道398号兴业银行大厦</w:t>
      </w:r>
      <w:r>
        <w:rPr>
          <w:rFonts w:hint="default"/>
          <w:kern w:val="2"/>
          <w:sz w:val="21"/>
          <w:szCs w:val="24"/>
          <w:highlight w:val="none"/>
          <w:lang w:val="en-US" w:eastAsia="zh-CN" w:bidi="ar"/>
        </w:rPr>
        <w:cr/>
      </w:r>
      <w:r>
        <w:rPr>
          <w:rFonts w:hint="default"/>
          <w:kern w:val="2"/>
          <w:sz w:val="21"/>
          <w:szCs w:val="24"/>
          <w:highlight w:val="none"/>
          <w:lang w:val="en-US" w:eastAsia="zh-CN" w:bidi="ar"/>
        </w:rPr>
        <w:t>官方网站：www.cib.com.cn</w:t>
      </w:r>
      <w:r>
        <w:rPr>
          <w:rFonts w:hint="default"/>
          <w:kern w:val="2"/>
          <w:sz w:val="21"/>
          <w:szCs w:val="24"/>
          <w:highlight w:val="none"/>
          <w:lang w:val="en-US" w:eastAsia="zh-CN" w:bidi="ar"/>
        </w:rPr>
        <w:cr/>
      </w:r>
      <w:r>
        <w:rPr>
          <w:rFonts w:hint="default"/>
          <w:kern w:val="2"/>
          <w:sz w:val="21"/>
          <w:szCs w:val="24"/>
          <w:highlight w:val="none"/>
          <w:lang w:val="en-US" w:eastAsia="zh-CN" w:bidi="ar"/>
        </w:rPr>
        <w:t>客户服务热线：95561</w:t>
      </w:r>
      <w:r>
        <w:rPr>
          <w:rFonts w:hint="default"/>
          <w:kern w:val="2"/>
          <w:sz w:val="21"/>
          <w:szCs w:val="24"/>
          <w:highlight w:val="none"/>
          <w:lang w:val="en-US" w:eastAsia="zh-CN" w:bidi="ar"/>
        </w:rPr>
        <w:fldChar w:fldCharType="end"/>
      </w: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r>
        <w:rPr>
          <w:rFonts w:hint="default"/>
          <w:kern w:val="2"/>
          <w:sz w:val="21"/>
          <w:szCs w:val="24"/>
          <w:highlight w:val="none"/>
          <w:lang w:val="en-US" w:eastAsia="zh-CN" w:bidi="ar"/>
        </w:rPr>
        <w:fldChar w:fldCharType="begin">
          <w:ffData>
            <w:name w:val="Text44"/>
            <w:enabled/>
            <w:calcOnExit w:val="0"/>
            <w:textInput>
              <w:default w:val="机构名称：中信银行股份有限公司&#13;&#10;注册地址：北京市朝阳区光华路10号院1号楼6-30层、32-42层&#13;&#10;官方网站：www.citicbank.com&#13;&#10;客户服务热线：95558"/>
            </w:textInput>
          </w:ffData>
        </w:fldChar>
      </w:r>
      <w:r>
        <w:rPr>
          <w:rFonts w:hint="default"/>
          <w:kern w:val="2"/>
          <w:sz w:val="21"/>
          <w:szCs w:val="24"/>
          <w:highlight w:val="none"/>
          <w:lang w:val="en-US" w:eastAsia="zh-CN" w:bidi="ar"/>
        </w:rPr>
        <w:instrText xml:space="preserve">FORMTEXT</w:instrText>
      </w:r>
      <w:r>
        <w:rPr>
          <w:rFonts w:hint="default"/>
          <w:kern w:val="2"/>
          <w:sz w:val="21"/>
          <w:szCs w:val="24"/>
          <w:highlight w:val="none"/>
          <w:lang w:val="en-US" w:eastAsia="zh-CN" w:bidi="ar"/>
        </w:rPr>
        <w:fldChar w:fldCharType="separate"/>
      </w:r>
      <w:r>
        <w:rPr>
          <w:rFonts w:hint="default"/>
          <w:kern w:val="2"/>
          <w:sz w:val="21"/>
          <w:szCs w:val="24"/>
          <w:highlight w:val="none"/>
          <w:lang w:val="en-US" w:eastAsia="zh-CN" w:bidi="ar"/>
        </w:rPr>
        <w:t>机构名称：中信银行股份有限公司</w:t>
      </w:r>
      <w:r>
        <w:rPr>
          <w:rFonts w:hint="default"/>
          <w:kern w:val="2"/>
          <w:sz w:val="21"/>
          <w:szCs w:val="24"/>
          <w:highlight w:val="none"/>
          <w:lang w:val="en-US" w:eastAsia="zh-CN" w:bidi="ar"/>
        </w:rPr>
        <w:cr/>
      </w:r>
      <w:r>
        <w:rPr>
          <w:rFonts w:hint="default"/>
          <w:kern w:val="2"/>
          <w:sz w:val="21"/>
          <w:szCs w:val="24"/>
          <w:highlight w:val="none"/>
          <w:lang w:val="en-US" w:eastAsia="zh-CN" w:bidi="ar"/>
        </w:rPr>
        <w:t>注册地址：北京市朝阳区光华路10号院1号楼6-30层、32-42层</w:t>
      </w:r>
      <w:r>
        <w:rPr>
          <w:rFonts w:hint="default"/>
          <w:kern w:val="2"/>
          <w:sz w:val="21"/>
          <w:szCs w:val="24"/>
          <w:highlight w:val="none"/>
          <w:lang w:val="en-US" w:eastAsia="zh-CN" w:bidi="ar"/>
        </w:rPr>
        <w:cr/>
      </w:r>
      <w:r>
        <w:rPr>
          <w:rFonts w:hint="default"/>
          <w:kern w:val="2"/>
          <w:sz w:val="21"/>
          <w:szCs w:val="24"/>
          <w:highlight w:val="none"/>
          <w:lang w:val="en-US" w:eastAsia="zh-CN" w:bidi="ar"/>
        </w:rPr>
        <w:t>官方网站：www.citicbank.com</w:t>
      </w:r>
      <w:r>
        <w:rPr>
          <w:rFonts w:hint="default"/>
          <w:kern w:val="2"/>
          <w:sz w:val="21"/>
          <w:szCs w:val="24"/>
          <w:highlight w:val="none"/>
          <w:lang w:val="en-US" w:eastAsia="zh-CN" w:bidi="ar"/>
        </w:rPr>
        <w:cr/>
      </w:r>
      <w:r>
        <w:rPr>
          <w:rFonts w:hint="default"/>
          <w:kern w:val="2"/>
          <w:sz w:val="21"/>
          <w:szCs w:val="24"/>
          <w:highlight w:val="none"/>
          <w:lang w:val="en-US" w:eastAsia="zh-CN" w:bidi="ar"/>
        </w:rPr>
        <w:t>客户服务热线：95558</w:t>
      </w:r>
      <w:r>
        <w:rPr>
          <w:rFonts w:hint="default"/>
          <w:kern w:val="2"/>
          <w:sz w:val="21"/>
          <w:szCs w:val="24"/>
          <w:highlight w:val="none"/>
          <w:lang w:val="en-US" w:eastAsia="zh-CN" w:bidi="ar"/>
        </w:rPr>
        <w:fldChar w:fldCharType="end"/>
      </w: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bookmarkStart w:id="14" w:name="Text44"/>
      <w:r>
        <w:rPr>
          <w:rFonts w:hint="default" w:ascii="Calibri" w:hAnsi="Calibri" w:eastAsia="宋体" w:cs="Times New Roman"/>
          <w:kern w:val="2"/>
          <w:sz w:val="21"/>
          <w:szCs w:val="24"/>
          <w:highlight w:val="none"/>
          <w:lang w:val="en-US" w:eastAsia="zh-CN" w:bidi="ar"/>
        </w:rPr>
        <w:fldChar w:fldCharType="begin">
          <w:ffData>
            <w:name w:val="Text44"/>
            <w:enabled/>
            <w:calcOnExit w:val="0"/>
            <w:textInput>
              <w:default w:val="机构名称：浙江网商银行股份有限公司&#13;&#10;注册地址：浙江省杭州市西湖区学院路77号黄龙国际中心8号楼14-20层&#13;&#10;官方网站：https://www.mybank.cn&#13;&#10;客户服务热线：95188-3"/>
            </w:textInput>
          </w:ffData>
        </w:fldChar>
      </w:r>
      <w:r>
        <w:rPr>
          <w:rFonts w:hint="default" w:ascii="Calibri" w:hAnsi="Calibri" w:eastAsia="宋体" w:cs="Times New Roman"/>
          <w:kern w:val="2"/>
          <w:sz w:val="21"/>
          <w:szCs w:val="24"/>
          <w:highlight w:val="none"/>
          <w:lang w:val="en-US" w:eastAsia="zh-CN" w:bidi="ar"/>
        </w:rPr>
        <w:instrText xml:space="preserve">FORMTEXT</w:instrText>
      </w:r>
      <w:r>
        <w:rPr>
          <w:rFonts w:hint="default" w:ascii="Calibri" w:hAnsi="Calibri" w:eastAsia="宋体" w:cs="Times New Roman"/>
          <w:kern w:val="2"/>
          <w:sz w:val="21"/>
          <w:szCs w:val="24"/>
          <w:highlight w:val="none"/>
          <w:lang w:val="en-US" w:eastAsia="zh-CN" w:bidi="ar"/>
        </w:rPr>
        <w:fldChar w:fldCharType="separate"/>
      </w:r>
      <w:r>
        <w:rPr>
          <w:rFonts w:hint="default" w:ascii="Calibri" w:hAnsi="Calibri" w:eastAsia="宋体" w:cs="Times New Roman"/>
          <w:kern w:val="2"/>
          <w:sz w:val="21"/>
          <w:szCs w:val="24"/>
          <w:highlight w:val="none"/>
          <w:lang w:val="en-US" w:eastAsia="zh-CN" w:bidi="ar"/>
        </w:rPr>
        <w:t>机构名称：浙江网商银行股份有限公司</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注册地址：浙江省杭州市西湖区学院路77号黄龙国际中心8号楼14-20层</w:t>
      </w:r>
      <w:r>
        <w:rPr>
          <w:rFonts w:hint="default" w:ascii="Calibri" w:hAnsi="Calibri" w:eastAsia="宋体" w:cs="Times New Roman"/>
          <w:kern w:val="2"/>
          <w:sz w:val="21"/>
          <w:szCs w:val="24"/>
          <w:highlight w:val="none"/>
          <w:lang w:val="en-US" w:eastAsia="zh-CN" w:bidi="ar"/>
        </w:rPr>
        <w:cr/>
      </w:r>
      <w:r>
        <w:rPr>
          <w:rFonts w:hint="default" w:ascii="Calibri" w:hAnsi="Calibri" w:eastAsia="宋体" w:cs="Times New Roman"/>
          <w:kern w:val="2"/>
          <w:sz w:val="21"/>
          <w:szCs w:val="24"/>
          <w:highlight w:val="none"/>
          <w:lang w:val="en-US" w:eastAsia="zh-CN" w:bidi="ar"/>
        </w:rPr>
        <w:t>官方网站：https://www.mybank.cn</w:t>
      </w:r>
      <w:r>
        <w:rPr>
          <w:rFonts w:hint="default" w:ascii="Calibri" w:hAnsi="Calibri" w:eastAsia="宋体" w:cs="Times New Roman"/>
          <w:kern w:val="2"/>
          <w:sz w:val="21"/>
          <w:szCs w:val="24"/>
          <w:highlight w:val="none"/>
          <w:lang w:val="en-US" w:eastAsia="zh-CN" w:bidi="ar"/>
        </w:rPr>
        <w:cr/>
      </w:r>
      <w:bookmarkStart w:id="17" w:name="_GoBack"/>
      <w:bookmarkEnd w:id="17"/>
      <w:r>
        <w:rPr>
          <w:rFonts w:hint="default" w:ascii="Calibri" w:hAnsi="Calibri" w:eastAsia="宋体" w:cs="Times New Roman"/>
          <w:kern w:val="2"/>
          <w:sz w:val="21"/>
          <w:szCs w:val="24"/>
          <w:highlight w:val="none"/>
          <w:lang w:val="en-US" w:eastAsia="zh-CN" w:bidi="ar"/>
        </w:rPr>
        <w:t>客户服务热线：95188-3</w:t>
      </w:r>
      <w:r>
        <w:rPr>
          <w:rFonts w:hint="default" w:ascii="Calibri" w:hAnsi="Calibri" w:eastAsia="宋体" w:cs="Times New Roman"/>
          <w:kern w:val="2"/>
          <w:sz w:val="21"/>
          <w:szCs w:val="24"/>
          <w:highlight w:val="none"/>
          <w:lang w:val="en-US" w:eastAsia="zh-CN" w:bidi="ar"/>
        </w:rPr>
        <w:fldChar w:fldCharType="end"/>
      </w:r>
      <w:bookmarkEnd w:id="14"/>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p>
    <w:p>
      <w:pPr>
        <w:keepLines w:val="0"/>
        <w:pageBreakBefore w:val="0"/>
        <w:kinsoku/>
        <w:wordWrap/>
        <w:overflowPunct/>
        <w:topLinePunct w:val="0"/>
        <w:bidi w:val="0"/>
        <w:spacing w:beforeLines="0" w:afterLines="0" w:line="360" w:lineRule="auto"/>
        <w:ind w:left="420" w:leftChars="200" w:right="0" w:rightChars="0" w:firstLine="0" w:firstLineChars="0"/>
        <w:textAlignment w:val="auto"/>
        <w:rPr>
          <w:rFonts w:hint="default"/>
          <w:kern w:val="2"/>
          <w:sz w:val="21"/>
          <w:szCs w:val="24"/>
          <w:highlight w:val="none"/>
          <w:lang w:val="en-US" w:eastAsia="zh-CN" w:bidi="ar"/>
        </w:rPr>
      </w:pPr>
      <w:r>
        <w:rPr>
          <w:rFonts w:hint="default"/>
          <w:kern w:val="2"/>
          <w:sz w:val="21"/>
          <w:szCs w:val="24"/>
          <w:highlight w:val="none"/>
          <w:lang w:val="en-US" w:eastAsia="zh-CN" w:bidi="ar"/>
        </w:rPr>
        <w:fldChar w:fldCharType="begin">
          <w:ffData>
            <w:name w:val="Text44"/>
            <w:enabled/>
            <w:calcOnExit w:val="0"/>
            <w:textInput>
              <w:default w:val="机构名称：上海浦东发展银行股份有限公司&#13;&#10;注册地址：上海市中山东一路12号&#13;&#10;官方网站：www.spdb.com.cn&#13;&#10;客户服务热线：95528"/>
            </w:textInput>
          </w:ffData>
        </w:fldChar>
      </w:r>
      <w:r>
        <w:rPr>
          <w:rFonts w:hint="default"/>
          <w:kern w:val="2"/>
          <w:sz w:val="21"/>
          <w:szCs w:val="24"/>
          <w:highlight w:val="none"/>
          <w:lang w:val="en-US" w:eastAsia="zh-CN" w:bidi="ar"/>
        </w:rPr>
        <w:instrText xml:space="preserve">FORMTEXT</w:instrText>
      </w:r>
      <w:r>
        <w:rPr>
          <w:rFonts w:hint="default"/>
          <w:kern w:val="2"/>
          <w:sz w:val="21"/>
          <w:szCs w:val="24"/>
          <w:highlight w:val="none"/>
          <w:lang w:val="en-US" w:eastAsia="zh-CN" w:bidi="ar"/>
        </w:rPr>
        <w:fldChar w:fldCharType="separate"/>
      </w:r>
      <w:r>
        <w:rPr>
          <w:rFonts w:hint="default"/>
          <w:kern w:val="2"/>
          <w:sz w:val="21"/>
          <w:szCs w:val="24"/>
          <w:highlight w:val="none"/>
          <w:lang w:val="en-US" w:eastAsia="zh-CN" w:bidi="ar"/>
        </w:rPr>
        <w:t>机构名称：上海浦东发展银行股份有限公司</w:t>
      </w:r>
      <w:r>
        <w:rPr>
          <w:rFonts w:hint="default"/>
          <w:kern w:val="2"/>
          <w:sz w:val="21"/>
          <w:szCs w:val="24"/>
          <w:highlight w:val="none"/>
          <w:lang w:val="en-US" w:eastAsia="zh-CN" w:bidi="ar"/>
        </w:rPr>
        <w:cr/>
      </w:r>
      <w:r>
        <w:rPr>
          <w:rFonts w:hint="default"/>
          <w:kern w:val="2"/>
          <w:sz w:val="21"/>
          <w:szCs w:val="24"/>
          <w:highlight w:val="none"/>
          <w:lang w:val="en-US" w:eastAsia="zh-CN" w:bidi="ar"/>
        </w:rPr>
        <w:t>注册地址：上海市中山东一路12号</w:t>
      </w:r>
      <w:r>
        <w:rPr>
          <w:rFonts w:hint="default"/>
          <w:kern w:val="2"/>
          <w:sz w:val="21"/>
          <w:szCs w:val="24"/>
          <w:highlight w:val="none"/>
          <w:lang w:val="en-US" w:eastAsia="zh-CN" w:bidi="ar"/>
        </w:rPr>
        <w:cr/>
      </w:r>
      <w:r>
        <w:rPr>
          <w:rFonts w:hint="default"/>
          <w:kern w:val="2"/>
          <w:sz w:val="21"/>
          <w:szCs w:val="24"/>
          <w:highlight w:val="none"/>
          <w:lang w:val="en-US" w:eastAsia="zh-CN" w:bidi="ar"/>
        </w:rPr>
        <w:t>官方网站：www.spdb.com.cn</w:t>
      </w:r>
      <w:r>
        <w:rPr>
          <w:rFonts w:hint="default"/>
          <w:kern w:val="2"/>
          <w:sz w:val="21"/>
          <w:szCs w:val="24"/>
          <w:highlight w:val="none"/>
          <w:lang w:val="en-US" w:eastAsia="zh-CN" w:bidi="ar"/>
        </w:rPr>
        <w:cr/>
      </w:r>
      <w:r>
        <w:rPr>
          <w:rFonts w:hint="default"/>
          <w:kern w:val="2"/>
          <w:sz w:val="21"/>
          <w:szCs w:val="24"/>
          <w:highlight w:val="none"/>
          <w:lang w:val="en-US" w:eastAsia="zh-CN" w:bidi="ar"/>
        </w:rPr>
        <w:t>客户服务热线：95528</w:t>
      </w:r>
      <w:r>
        <w:rPr>
          <w:rFonts w:hint="default"/>
          <w:kern w:val="2"/>
          <w:sz w:val="21"/>
          <w:szCs w:val="24"/>
          <w:highlight w:val="none"/>
          <w:lang w:val="en-US" w:eastAsia="zh-CN" w:bidi="ar"/>
        </w:rPr>
        <w:fldChar w:fldCharType="end"/>
      </w:r>
    </w:p>
    <w:p>
      <w:pPr>
        <w:pStyle w:val="6"/>
        <w:keepNext w:val="0"/>
        <w:keepLines w:val="0"/>
        <w:pageBreakBefore w:val="0"/>
        <w:tabs>
          <w:tab w:val="left" w:pos="1470"/>
        </w:tabs>
        <w:kinsoku/>
        <w:wordWrap/>
        <w:overflowPunct/>
        <w:topLinePunct w:val="0"/>
        <w:autoSpaceDE/>
        <w:autoSpaceDN/>
        <w:bidi w:val="0"/>
        <w:adjustRightInd/>
        <w:snapToGrid/>
        <w:spacing w:line="360" w:lineRule="auto"/>
        <w:ind w:right="0" w:rightChars="0"/>
        <w:textAlignment w:val="auto"/>
        <w:rPr>
          <w:rFonts w:hint="eastAsia" w:ascii="宋体" w:hAnsi="宋体" w:cs="宋体"/>
          <w:bCs/>
          <w:szCs w:val="21"/>
        </w:rPr>
      </w:pP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cs="宋体"/>
          <w:szCs w:val="21"/>
        </w:rPr>
      </w:pPr>
      <w:r>
        <w:rPr>
          <w:rFonts w:hint="eastAsia" w:ascii="宋体" w:hAnsi="宋体" w:cs="宋体"/>
          <w:bCs/>
          <w:szCs w:val="21"/>
        </w:rPr>
        <w:t>有关修改详见管理人更新后的</w:t>
      </w:r>
      <w:bookmarkStart w:id="15" w:name="Text4"/>
      <w:r>
        <w:rPr>
          <w:rFonts w:ascii="宋体" w:hAnsi="宋体" w:cs="宋体"/>
          <w:bCs/>
          <w:szCs w:val="21"/>
        </w:rPr>
        <w:fldChar w:fldCharType="begin">
          <w:ffData>
            <w:name w:val="Text4"/>
            <w:enabled/>
            <w:calcOnExit w:val="0"/>
            <w:textInput>
              <w:default w:val="《理财产品风险揭示书》《理财产品说明书》《理财产品投资者权益须知》及《理财产品投资协议书》"/>
            </w:textInput>
          </w:ffData>
        </w:fldChar>
      </w:r>
      <w:r>
        <w:rPr>
          <w:rFonts w:ascii="宋体" w:hAnsi="宋体" w:cs="宋体"/>
          <w:bCs/>
          <w:szCs w:val="21"/>
        </w:rPr>
        <w:instrText xml:space="preserve">FORMTEXT</w:instrText>
      </w:r>
      <w:r>
        <w:rPr>
          <w:rFonts w:ascii="宋体" w:hAnsi="宋体" w:cs="宋体"/>
          <w:bCs/>
          <w:szCs w:val="21"/>
        </w:rPr>
        <w:fldChar w:fldCharType="separate"/>
      </w:r>
      <w:r>
        <w:rPr>
          <w:rFonts w:ascii="宋体" w:hAnsi="宋体" w:cs="宋体"/>
          <w:bCs/>
          <w:szCs w:val="21"/>
        </w:rPr>
        <w:t>《理财产品风险揭示书》《理财产品说明书》《理财产品投资者权益须知》及《理财产品投资协议书》</w:t>
      </w:r>
      <w:r>
        <w:rPr>
          <w:rFonts w:ascii="宋体" w:hAnsi="宋体" w:cs="宋体"/>
          <w:bCs/>
          <w:szCs w:val="21"/>
        </w:rPr>
        <w:fldChar w:fldCharType="end"/>
      </w:r>
      <w:bookmarkEnd w:id="15"/>
      <w:r>
        <w:rPr>
          <w:rFonts w:hint="eastAsia" w:ascii="宋体" w:hAnsi="宋体" w:cs="宋体"/>
          <w:bCs/>
          <w:szCs w:val="21"/>
        </w:rPr>
        <w:t>。此次调整不会对存量份额持有人产生实质性影响，</w:t>
      </w:r>
      <w:r>
        <w:rPr>
          <w:rFonts w:hint="eastAsia" w:ascii="宋体" w:hAnsi="宋体" w:cs="宋体"/>
          <w:szCs w:val="21"/>
        </w:rPr>
        <w:t>投资者可在每个产品开放日通过销售服务机构办理相关业务。</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感谢您</w:t>
      </w:r>
      <w:r>
        <w:rPr>
          <w:rFonts w:hint="eastAsia" w:ascii="宋体" w:hAnsi="宋体" w:eastAsia="宋体" w:cs="宋体"/>
          <w:sz w:val="21"/>
          <w:szCs w:val="21"/>
          <w:lang w:val="en-US" w:eastAsia="zh-CN"/>
        </w:rPr>
        <w:t>一直以来</w:t>
      </w:r>
      <w:r>
        <w:rPr>
          <w:rFonts w:hint="eastAsia" w:ascii="宋体" w:hAnsi="宋体" w:eastAsia="宋体" w:cs="宋体"/>
          <w:sz w:val="21"/>
          <w:szCs w:val="21"/>
        </w:rPr>
        <w:t>对</w:t>
      </w:r>
      <w:r>
        <w:rPr>
          <w:rFonts w:hint="eastAsia" w:ascii="宋体" w:hAnsi="宋体" w:eastAsia="宋体" w:cs="宋体"/>
          <w:sz w:val="21"/>
          <w:szCs w:val="21"/>
          <w:lang w:val="en-US" w:eastAsia="zh-CN"/>
        </w:rPr>
        <w:t>民生理财有限责任公司的</w:t>
      </w:r>
      <w:r>
        <w:rPr>
          <w:rFonts w:hint="eastAsia" w:ascii="宋体" w:hAnsi="宋体" w:eastAsia="宋体" w:cs="宋体"/>
          <w:sz w:val="21"/>
          <w:szCs w:val="21"/>
        </w:rPr>
        <w:t>支持！敬请关注民生</w:t>
      </w:r>
      <w:r>
        <w:rPr>
          <w:rFonts w:hint="eastAsia" w:ascii="宋体" w:hAnsi="宋体" w:eastAsia="宋体" w:cs="宋体"/>
          <w:sz w:val="21"/>
          <w:szCs w:val="21"/>
          <w:lang w:val="en-US" w:eastAsia="zh-CN"/>
        </w:rPr>
        <w:t>理财正在热销</w:t>
      </w:r>
      <w:r>
        <w:rPr>
          <w:rFonts w:hint="eastAsia" w:ascii="宋体" w:hAnsi="宋体" w:eastAsia="宋体" w:cs="宋体"/>
          <w:sz w:val="21"/>
          <w:szCs w:val="21"/>
        </w:rPr>
        <w:t>的理财产品。</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特此公告。</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righ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民生理财有限责任公司</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right"/>
        <w:textAlignment w:val="auto"/>
        <w:rPr>
          <w:rFonts w:hint="eastAsia" w:ascii="宋体" w:hAnsi="宋体" w:eastAsia="宋体" w:cs="宋体"/>
          <w:sz w:val="21"/>
          <w:szCs w:val="21"/>
          <w:lang w:val="en-US" w:eastAsia="zh-CN"/>
        </w:rPr>
      </w:pPr>
      <w:bookmarkStart w:id="16" w:name="Text7"/>
      <w:r>
        <w:rPr>
          <w:rFonts w:hint="eastAsia" w:ascii="宋体" w:hAnsi="宋体" w:eastAsia="宋体" w:cs="宋体"/>
          <w:kern w:val="2"/>
          <w:sz w:val="21"/>
          <w:szCs w:val="21"/>
          <w:vertAlign w:val="baseline"/>
          <w:lang w:val="en-US" w:eastAsia="zh-CN" w:bidi="ar-SA"/>
        </w:rPr>
        <w:fldChar w:fldCharType="begin">
          <w:ffData>
            <w:name w:val="Text7"/>
            <w:enabled/>
            <w:calcOnExit w:val="0"/>
            <w:textInput>
              <w:default w:val="2026年9月4日"/>
            </w:textInput>
          </w:ffData>
        </w:fldChar>
      </w:r>
      <w:r>
        <w:rPr>
          <w:rFonts w:hint="eastAsia" w:ascii="宋体" w:hAnsi="宋体" w:eastAsia="宋体" w:cs="宋体"/>
          <w:kern w:val="2"/>
          <w:sz w:val="21"/>
          <w:szCs w:val="21"/>
          <w:vertAlign w:val="baseline"/>
          <w:lang w:val="en-US" w:eastAsia="zh-CN" w:bidi="ar-SA"/>
        </w:rPr>
        <w:instrText xml:space="preserve">FORMTEXT</w:instrText>
      </w:r>
      <w:r>
        <w:rPr>
          <w:rFonts w:hint="eastAsia" w:ascii="宋体" w:hAnsi="宋体" w:eastAsia="宋体" w:cs="宋体"/>
          <w:kern w:val="2"/>
          <w:sz w:val="21"/>
          <w:szCs w:val="21"/>
          <w:vertAlign w:val="baseline"/>
          <w:lang w:val="en-US" w:eastAsia="zh-CN" w:bidi="ar-SA"/>
        </w:rPr>
        <w:fldChar w:fldCharType="separate"/>
      </w:r>
      <w:r>
        <w:rPr>
          <w:rFonts w:hint="eastAsia" w:ascii="宋体" w:hAnsi="宋体" w:eastAsia="宋体" w:cs="宋体"/>
          <w:kern w:val="2"/>
          <w:sz w:val="21"/>
          <w:szCs w:val="21"/>
          <w:vertAlign w:val="baseline"/>
          <w:lang w:val="en-US" w:eastAsia="zh-CN" w:bidi="ar-SA"/>
        </w:rPr>
        <w:t>2026年9月4日</w:t>
      </w:r>
      <w:r>
        <w:rPr>
          <w:rFonts w:hint="eastAsia" w:ascii="宋体" w:hAnsi="宋体" w:eastAsia="宋体" w:cs="宋体"/>
          <w:kern w:val="2"/>
          <w:sz w:val="21"/>
          <w:szCs w:val="21"/>
          <w:vertAlign w:val="baseline"/>
          <w:lang w:val="en-US" w:eastAsia="zh-CN" w:bidi="ar-SA"/>
        </w:rPr>
        <w:fldChar w:fldCharType="end"/>
      </w:r>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37FCF"/>
    <w:rsid w:val="00A33413"/>
    <w:rsid w:val="00B94B98"/>
    <w:rsid w:val="00D01542"/>
    <w:rsid w:val="011168BD"/>
    <w:rsid w:val="011E22A5"/>
    <w:rsid w:val="01711626"/>
    <w:rsid w:val="019F4AAC"/>
    <w:rsid w:val="01D03BB3"/>
    <w:rsid w:val="02580567"/>
    <w:rsid w:val="029E40C3"/>
    <w:rsid w:val="02CD2B18"/>
    <w:rsid w:val="030F09AF"/>
    <w:rsid w:val="03F139E8"/>
    <w:rsid w:val="042C7F12"/>
    <w:rsid w:val="045D3E37"/>
    <w:rsid w:val="045E6686"/>
    <w:rsid w:val="04F27D1F"/>
    <w:rsid w:val="058E0893"/>
    <w:rsid w:val="05CB0295"/>
    <w:rsid w:val="066324B6"/>
    <w:rsid w:val="066464B7"/>
    <w:rsid w:val="06655073"/>
    <w:rsid w:val="06EC6D6C"/>
    <w:rsid w:val="070815B1"/>
    <w:rsid w:val="072A18BF"/>
    <w:rsid w:val="07403732"/>
    <w:rsid w:val="07B23486"/>
    <w:rsid w:val="090614F3"/>
    <w:rsid w:val="0949658A"/>
    <w:rsid w:val="094F7CD1"/>
    <w:rsid w:val="09E67A3C"/>
    <w:rsid w:val="0ACB3FE8"/>
    <w:rsid w:val="0BA00B5F"/>
    <w:rsid w:val="0BF873AE"/>
    <w:rsid w:val="0C3B64F3"/>
    <w:rsid w:val="0C4B1293"/>
    <w:rsid w:val="0C697C98"/>
    <w:rsid w:val="0CC46302"/>
    <w:rsid w:val="0D307569"/>
    <w:rsid w:val="0D39380C"/>
    <w:rsid w:val="0DE77EDE"/>
    <w:rsid w:val="0E1E38F5"/>
    <w:rsid w:val="0E5D24D6"/>
    <w:rsid w:val="0E84390F"/>
    <w:rsid w:val="0F101C83"/>
    <w:rsid w:val="0F68341F"/>
    <w:rsid w:val="0F7E213C"/>
    <w:rsid w:val="0FF26413"/>
    <w:rsid w:val="100073AC"/>
    <w:rsid w:val="10097209"/>
    <w:rsid w:val="10DE6464"/>
    <w:rsid w:val="110A7385"/>
    <w:rsid w:val="11A41173"/>
    <w:rsid w:val="11C61AC3"/>
    <w:rsid w:val="121F5A22"/>
    <w:rsid w:val="125C03AD"/>
    <w:rsid w:val="12D553E2"/>
    <w:rsid w:val="13130346"/>
    <w:rsid w:val="134D53A7"/>
    <w:rsid w:val="136C3FC9"/>
    <w:rsid w:val="13D209C0"/>
    <w:rsid w:val="14427871"/>
    <w:rsid w:val="145C6999"/>
    <w:rsid w:val="14800EEB"/>
    <w:rsid w:val="148B0641"/>
    <w:rsid w:val="153A74E0"/>
    <w:rsid w:val="15E93E01"/>
    <w:rsid w:val="160259C5"/>
    <w:rsid w:val="16870383"/>
    <w:rsid w:val="16A55177"/>
    <w:rsid w:val="17600737"/>
    <w:rsid w:val="17A90B89"/>
    <w:rsid w:val="17CC230C"/>
    <w:rsid w:val="17CE0A62"/>
    <w:rsid w:val="17EF7C85"/>
    <w:rsid w:val="181A0132"/>
    <w:rsid w:val="18BF797F"/>
    <w:rsid w:val="18D347C9"/>
    <w:rsid w:val="19564C2E"/>
    <w:rsid w:val="196A4424"/>
    <w:rsid w:val="19D24A40"/>
    <w:rsid w:val="1A582853"/>
    <w:rsid w:val="1AA4758C"/>
    <w:rsid w:val="1B3A5427"/>
    <w:rsid w:val="1C2721F1"/>
    <w:rsid w:val="1C534BD4"/>
    <w:rsid w:val="1C85102B"/>
    <w:rsid w:val="1CE5034C"/>
    <w:rsid w:val="1CFF2E68"/>
    <w:rsid w:val="1DB364FD"/>
    <w:rsid w:val="1E051523"/>
    <w:rsid w:val="1E144397"/>
    <w:rsid w:val="1E2F072D"/>
    <w:rsid w:val="1E7F6971"/>
    <w:rsid w:val="1FE92264"/>
    <w:rsid w:val="20397E91"/>
    <w:rsid w:val="20536FB9"/>
    <w:rsid w:val="205468F0"/>
    <w:rsid w:val="208732C1"/>
    <w:rsid w:val="20A71B1F"/>
    <w:rsid w:val="21283940"/>
    <w:rsid w:val="21366843"/>
    <w:rsid w:val="213C310A"/>
    <w:rsid w:val="22867CC2"/>
    <w:rsid w:val="237D7345"/>
    <w:rsid w:val="2394376D"/>
    <w:rsid w:val="24310265"/>
    <w:rsid w:val="245454E4"/>
    <w:rsid w:val="247840E5"/>
    <w:rsid w:val="247B45E7"/>
    <w:rsid w:val="24904B24"/>
    <w:rsid w:val="24B33DA7"/>
    <w:rsid w:val="24D1520C"/>
    <w:rsid w:val="24D44A97"/>
    <w:rsid w:val="256C1D28"/>
    <w:rsid w:val="259B2606"/>
    <w:rsid w:val="25C1601B"/>
    <w:rsid w:val="25D078E2"/>
    <w:rsid w:val="25ED1ACA"/>
    <w:rsid w:val="263D03D3"/>
    <w:rsid w:val="263F0CF4"/>
    <w:rsid w:val="26763DFB"/>
    <w:rsid w:val="26C7447F"/>
    <w:rsid w:val="279772B3"/>
    <w:rsid w:val="27DA724D"/>
    <w:rsid w:val="282947F3"/>
    <w:rsid w:val="28AC2371"/>
    <w:rsid w:val="291E6DE3"/>
    <w:rsid w:val="29225ADF"/>
    <w:rsid w:val="2941403E"/>
    <w:rsid w:val="29E705E1"/>
    <w:rsid w:val="2A055BE8"/>
    <w:rsid w:val="2A1E585F"/>
    <w:rsid w:val="2A596606"/>
    <w:rsid w:val="2A9A1EF5"/>
    <w:rsid w:val="2AB930A8"/>
    <w:rsid w:val="2B76703A"/>
    <w:rsid w:val="2B7F517B"/>
    <w:rsid w:val="2CCA3690"/>
    <w:rsid w:val="2CD2711E"/>
    <w:rsid w:val="2D104B23"/>
    <w:rsid w:val="2D6C7591"/>
    <w:rsid w:val="2D953FBC"/>
    <w:rsid w:val="2E7334C5"/>
    <w:rsid w:val="2F7C47DF"/>
    <w:rsid w:val="2FCD5708"/>
    <w:rsid w:val="2FE54FFE"/>
    <w:rsid w:val="3059008F"/>
    <w:rsid w:val="307F6F79"/>
    <w:rsid w:val="30B00896"/>
    <w:rsid w:val="30F91EC0"/>
    <w:rsid w:val="31514CF8"/>
    <w:rsid w:val="31BD4DC6"/>
    <w:rsid w:val="320947F9"/>
    <w:rsid w:val="324A7207"/>
    <w:rsid w:val="345A58AB"/>
    <w:rsid w:val="348219C2"/>
    <w:rsid w:val="34B643B7"/>
    <w:rsid w:val="351E1C2F"/>
    <w:rsid w:val="356F47B8"/>
    <w:rsid w:val="35B720C3"/>
    <w:rsid w:val="35D246AB"/>
    <w:rsid w:val="364D63EA"/>
    <w:rsid w:val="37013F43"/>
    <w:rsid w:val="3771784D"/>
    <w:rsid w:val="37932CC7"/>
    <w:rsid w:val="37C75B0A"/>
    <w:rsid w:val="38145279"/>
    <w:rsid w:val="38385FC5"/>
    <w:rsid w:val="38466C54"/>
    <w:rsid w:val="385B0683"/>
    <w:rsid w:val="3967667B"/>
    <w:rsid w:val="39B32F0A"/>
    <w:rsid w:val="39D001E5"/>
    <w:rsid w:val="3A6659E8"/>
    <w:rsid w:val="3B9F755C"/>
    <w:rsid w:val="3BE3041F"/>
    <w:rsid w:val="3BED3519"/>
    <w:rsid w:val="3CE50B63"/>
    <w:rsid w:val="3D5D5A1C"/>
    <w:rsid w:val="3D707788"/>
    <w:rsid w:val="3E1C2D73"/>
    <w:rsid w:val="3E61605F"/>
    <w:rsid w:val="3EE5023D"/>
    <w:rsid w:val="3EFE3F03"/>
    <w:rsid w:val="3FF25841"/>
    <w:rsid w:val="40126CC4"/>
    <w:rsid w:val="40A53F33"/>
    <w:rsid w:val="40F46B54"/>
    <w:rsid w:val="41A42AF9"/>
    <w:rsid w:val="42A868A9"/>
    <w:rsid w:val="43505534"/>
    <w:rsid w:val="435920D2"/>
    <w:rsid w:val="43847435"/>
    <w:rsid w:val="448C255B"/>
    <w:rsid w:val="45B01E1F"/>
    <w:rsid w:val="46571E60"/>
    <w:rsid w:val="46A7540A"/>
    <w:rsid w:val="46CB0A54"/>
    <w:rsid w:val="47120827"/>
    <w:rsid w:val="47BB57BD"/>
    <w:rsid w:val="47CA5719"/>
    <w:rsid w:val="48EC70BB"/>
    <w:rsid w:val="4994431A"/>
    <w:rsid w:val="49B45094"/>
    <w:rsid w:val="4A0064B4"/>
    <w:rsid w:val="4A8D525B"/>
    <w:rsid w:val="4A94318F"/>
    <w:rsid w:val="4B056A7D"/>
    <w:rsid w:val="4B206E0E"/>
    <w:rsid w:val="4B2C1A33"/>
    <w:rsid w:val="4B86058C"/>
    <w:rsid w:val="4B881A0A"/>
    <w:rsid w:val="4C0542E6"/>
    <w:rsid w:val="4C101FE0"/>
    <w:rsid w:val="4C8B15D4"/>
    <w:rsid w:val="4CB4682F"/>
    <w:rsid w:val="4CF02E1B"/>
    <w:rsid w:val="4DAB3F69"/>
    <w:rsid w:val="4DFE2E32"/>
    <w:rsid w:val="4E5578AC"/>
    <w:rsid w:val="4E7B594C"/>
    <w:rsid w:val="4F115803"/>
    <w:rsid w:val="509D23DD"/>
    <w:rsid w:val="50E769AC"/>
    <w:rsid w:val="510505CB"/>
    <w:rsid w:val="515404FD"/>
    <w:rsid w:val="51A4783B"/>
    <w:rsid w:val="51CB73DF"/>
    <w:rsid w:val="53651469"/>
    <w:rsid w:val="53784650"/>
    <w:rsid w:val="54886D3A"/>
    <w:rsid w:val="54E813CF"/>
    <w:rsid w:val="54FE65AB"/>
    <w:rsid w:val="55AB306D"/>
    <w:rsid w:val="56A0555A"/>
    <w:rsid w:val="57A532C9"/>
    <w:rsid w:val="57B936FA"/>
    <w:rsid w:val="57F11794"/>
    <w:rsid w:val="5808024E"/>
    <w:rsid w:val="580C1D0B"/>
    <w:rsid w:val="5861776A"/>
    <w:rsid w:val="58A13F6B"/>
    <w:rsid w:val="5954679C"/>
    <w:rsid w:val="598A66DE"/>
    <w:rsid w:val="59FE204F"/>
    <w:rsid w:val="5B092A10"/>
    <w:rsid w:val="5B0B1B8C"/>
    <w:rsid w:val="5B232664"/>
    <w:rsid w:val="5C3B12A9"/>
    <w:rsid w:val="5C507018"/>
    <w:rsid w:val="5CCD537D"/>
    <w:rsid w:val="5D003BC4"/>
    <w:rsid w:val="5D834183"/>
    <w:rsid w:val="5D8764E9"/>
    <w:rsid w:val="5DB9334F"/>
    <w:rsid w:val="5DC179FF"/>
    <w:rsid w:val="5F510E38"/>
    <w:rsid w:val="5F777E2D"/>
    <w:rsid w:val="5FC316AD"/>
    <w:rsid w:val="60BA277C"/>
    <w:rsid w:val="60EA448B"/>
    <w:rsid w:val="61224245"/>
    <w:rsid w:val="61254A9B"/>
    <w:rsid w:val="6142577F"/>
    <w:rsid w:val="62186738"/>
    <w:rsid w:val="626403BB"/>
    <w:rsid w:val="62FA2859"/>
    <w:rsid w:val="62FD6475"/>
    <w:rsid w:val="631B0FFD"/>
    <w:rsid w:val="632D03EB"/>
    <w:rsid w:val="636F045F"/>
    <w:rsid w:val="63EF6E1C"/>
    <w:rsid w:val="641C1EF0"/>
    <w:rsid w:val="646002BB"/>
    <w:rsid w:val="64783328"/>
    <w:rsid w:val="647B32BF"/>
    <w:rsid w:val="64903627"/>
    <w:rsid w:val="649A2F75"/>
    <w:rsid w:val="649B5961"/>
    <w:rsid w:val="6564208E"/>
    <w:rsid w:val="6571624E"/>
    <w:rsid w:val="65A33233"/>
    <w:rsid w:val="65F86AF4"/>
    <w:rsid w:val="661D1C23"/>
    <w:rsid w:val="667A6BA5"/>
    <w:rsid w:val="67161FDD"/>
    <w:rsid w:val="673533A0"/>
    <w:rsid w:val="67952179"/>
    <w:rsid w:val="67FA5E37"/>
    <w:rsid w:val="68101B70"/>
    <w:rsid w:val="68331B48"/>
    <w:rsid w:val="68BE43E7"/>
    <w:rsid w:val="68E7276B"/>
    <w:rsid w:val="690D42CF"/>
    <w:rsid w:val="69E179C2"/>
    <w:rsid w:val="69F61967"/>
    <w:rsid w:val="6A2601E5"/>
    <w:rsid w:val="6A47109C"/>
    <w:rsid w:val="6A5E6737"/>
    <w:rsid w:val="6A6B7926"/>
    <w:rsid w:val="6B025310"/>
    <w:rsid w:val="6B3E781C"/>
    <w:rsid w:val="6B52734E"/>
    <w:rsid w:val="6BC50D76"/>
    <w:rsid w:val="6C3A03E1"/>
    <w:rsid w:val="6CA639CD"/>
    <w:rsid w:val="6D0B49F7"/>
    <w:rsid w:val="6D3A1056"/>
    <w:rsid w:val="6D683FC5"/>
    <w:rsid w:val="6E37590A"/>
    <w:rsid w:val="6EC868EA"/>
    <w:rsid w:val="6EDF073E"/>
    <w:rsid w:val="6EDF4F45"/>
    <w:rsid w:val="6EE67F83"/>
    <w:rsid w:val="6F5649DA"/>
    <w:rsid w:val="6F952C46"/>
    <w:rsid w:val="6FF44D17"/>
    <w:rsid w:val="701E2304"/>
    <w:rsid w:val="705F327E"/>
    <w:rsid w:val="70E61A7D"/>
    <w:rsid w:val="70EB6BD0"/>
    <w:rsid w:val="71151333"/>
    <w:rsid w:val="71C74FFD"/>
    <w:rsid w:val="71F8341F"/>
    <w:rsid w:val="71FA73FB"/>
    <w:rsid w:val="72242D30"/>
    <w:rsid w:val="723939C7"/>
    <w:rsid w:val="724805E1"/>
    <w:rsid w:val="726C37BE"/>
    <w:rsid w:val="7299748B"/>
    <w:rsid w:val="739B64B9"/>
    <w:rsid w:val="73E44FE0"/>
    <w:rsid w:val="74547E66"/>
    <w:rsid w:val="74661472"/>
    <w:rsid w:val="74B2407F"/>
    <w:rsid w:val="74D45F9A"/>
    <w:rsid w:val="75313FD1"/>
    <w:rsid w:val="75523613"/>
    <w:rsid w:val="756B0CB3"/>
    <w:rsid w:val="75BD5C7D"/>
    <w:rsid w:val="75CC3AF4"/>
    <w:rsid w:val="762E0520"/>
    <w:rsid w:val="76635464"/>
    <w:rsid w:val="766D79BC"/>
    <w:rsid w:val="771D4D5F"/>
    <w:rsid w:val="77561FB7"/>
    <w:rsid w:val="77B255EA"/>
    <w:rsid w:val="77B804F8"/>
    <w:rsid w:val="77CB3E30"/>
    <w:rsid w:val="78027672"/>
    <w:rsid w:val="7AB80DFB"/>
    <w:rsid w:val="7B12229E"/>
    <w:rsid w:val="7B4870C0"/>
    <w:rsid w:val="7BCA7537"/>
    <w:rsid w:val="7C3A3560"/>
    <w:rsid w:val="7C611327"/>
    <w:rsid w:val="7C6F21CC"/>
    <w:rsid w:val="7CB11915"/>
    <w:rsid w:val="7CB329A2"/>
    <w:rsid w:val="7D395FCA"/>
    <w:rsid w:val="7DBA7990"/>
    <w:rsid w:val="7E1E7F1F"/>
    <w:rsid w:val="7E9411CF"/>
    <w:rsid w:val="7F7B6E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cmbc</dc:creator>
  <cp:lastModifiedBy>shiyunxin</cp:lastModifiedBy>
  <dcterms:modified xsi:type="dcterms:W3CDTF">2026-08-30T05:48:17Z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_KSOProductBuildMID">
    <vt:lpwstr>SKWMQ6GH79TA00HG9GR8QL0S7ZQ0OYYREF0XLJDXXGHRTDWTZ8BJQCJ7FSVHPC6RXNM6EOZGZH078LJJQFFARFFV8RZ0WIWBBSODPHB370F99C75F283EAF0B45A49C0E78BB8F1</vt:lpwstr>
  </property>
  <property fmtid="{D5CDD505-2E9C-101B-9397-08002B2CF9AE}" pid="4" name="_KSOProductBuildSID">
    <vt:lpwstr>SZWMK6GH79TQ00HGRPR8DLJN7ZQ0OAPR9S06XJDUXF88TDWTZ0BRYC0CFYYTP8RRBNMXLOLJZH5D8HJJQNFTRF8H89C0WHWBAEODQHB37DFDD9BE5D6D31A88B6D89974C0EEF8F</vt:lpwstr>
  </property>
  <property fmtid="{D5CDD505-2E9C-101B-9397-08002B2CF9AE}" pid="5" name="ICV">
    <vt:lpwstr>D08AAFF2E0BD44C88344E786062F0E6B</vt:lpwstr>
  </property>
</Properties>
</file>