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南银理财鼎瑞悦稳（最低持有28天）5号公募人民币理财产品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2</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南银理财鼎瑞悦稳（最低持有28天）5号公募人民币理财产品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Z7003225000198</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2025年07月03日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1,382,098,279.50</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中粮信托有限责任公司,华泰资产管理有限公司,国投泰康信托有限公司,太平洋资产管理有限责任公司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2026年04月01日 - 2026年06月30日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A32080</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536,433,130.34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1.027612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1.027612</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A32094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120,305,256.41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1.026691</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1.026691</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A32104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728,771,143.90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1.025838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1.025838</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A32123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33,325,954.61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1.025841</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1.025841</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二季度债市整体呈震荡走强格局，长短端收益率同步下行，信用利差普遍收窄。经济基本面呈现"K型分化"特征，生产强、需求弱并存，二季度GDP增速回落至4.5%附近，内需修复仍偏温和，基本面为债市提供核心支撑。货币政策维持适度宽松基调，4-5月资金极度宽松推动短端收益率大幅下行，6月资金面回归均衡宽松、隔夜利率一度上行至政策利率附近，但陆家嘴论坛释放利率走廊收窄信号重新提振市场信心。机构配置方面，高息存款到期高峰推动"资产荒"成为市场主线，近三分之二信用债收益率已降至1.8%以内。市场表现上，1年期国债收益率下行12BP至1.10%附近，10年期国债下行9BP、季末在1.70%-1.75%区间震荡，30年期国债下行13BP，信用利差压缩至历史低位。</w:t>
        <w:br w:type="textWrapping" w:clear="all"/>
      </w:r>
      <w:r>
        <w:rPr>
          <w:rFonts w:ascii="方正仿宋简体" w:eastAsia="方正仿宋简体" w:hint="eastAsia"/>
          <w:sz w:val="24"/>
          <w:szCs w:val="24"/>
        </w:rPr>
        <w:t>  展望三季度，国内债券市场大概率延续低位震荡运行格局，收益率难现单边趋势性行情，核心源于多空因素深度交织、基本面与政策面持续博弈，利率上下空间均受到约束。策略上以中性久期策略为核心，将票息收益作为组合收益的主要来源，在震荡调整中把握逢高配置窗口，灵活把握长端利率波段机会。</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A32080份额净值为1.027612元，A32094份额净值为1.026691元，A32104份额净值为1.025838元，A32123份额净值为1.025841</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98.15%</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1.85%</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ZJQTT202308160001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中粮信托鼎兴4号集合资金信托计划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603,063,205.87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42.50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ZJQTT202508040001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太平洋安盈十五号流动性资产管理产品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354,364,025.95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24.98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186,349,036.17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13.13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165,369,841.41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11.66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ZJQTT202508110003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华泰资产宁泰稳盈货币资产管理产品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101,252,063.42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XJCKX202302280001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工商银行南分活期存款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7,961,181.53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0.56</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0101050000001586</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南银理财鼎瑞悦稳最低持有28天5号</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江南农商行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2772.52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286085.88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101885.20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其他服务费用</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2026年06月30日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