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南银理财鼎瑞悦稳（最低持有91天）5号公募人民币理财产品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南银理财鼎瑞悦稳（最低持有91天）5号公募人民币理财产品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Z7003225000249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2025年07月24日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31,171,520.49</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紫金信托有限责任公司,江苏省国际信托有限责任公司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A32109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31,304,225.59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1.044390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1.044390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A32110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521,298.49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1.044391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1.044391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A32111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521,298.49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1.044391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1.044391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A32119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208,420.35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1.044384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1.044384</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国内债券市场大概率延续低位震荡运行格局，收益率难现单边趋势性行情，核心源于多空因素深度交织、基本面与政策面持续博弈，利率上下空间均受到约束。策略上以中性久期策略为核心，将票息收益作为组合收益的主要来源，在震荡调整中把握逢高配置窗口，灵活把握长端利率波段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A32109份额净值为1.044390元，A32110份额净值为1.044391元，A32111份额净值为1.044391元，A32119份额净值为1.044384</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ZJQTT202605150001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18,043,015.04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55.42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12,575,116.71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1,603,077.68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中国银行上海分行活期存款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1,166.67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0101090000001650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南银理财鼎瑞悦稳最低持有91天5号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29773771.08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1622.12</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