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南银理财鼎瑞悦稳（最低持有7天）公募人民币理财产品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Z7003223000162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2023年08月22日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5,959,111,408.99</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兴业国际信托有限公司,华商基金管理有限公司,华泰资产管理有限公司,国投泰康信托有限公司,广发基金管理有限公司,紫金信托有限责任公司,陆家嘴国际信托有限公司,太平洋资产管理有限责任公司,江苏省国际信托有限责任公司,光大永明资产管理股份有限公司,申万宏源证券资产管理有限公司,长城财富保险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2,721,992,504.09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1.068549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1.068549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8,273,728.78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1.073957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1.073957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1,101,013,652.10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1.066647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1.066647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4,659,357.31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1.062205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1.062205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2,127,986,796.53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1.073026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1.073026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410,432,602.57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1.068087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1.068087</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A32011份额净值为1.068549元，A32012份额净值为1.073957元，A32013份额净值为1.066647元，A32027份额净值为1.062205元，A32031份额净值为1.073026元，A32077份额净值为1.068087</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96.88%</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92.76%</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3.12%</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7.24%</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1,550,791,222.41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DQCKX202507040003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民生银行定期存款20250704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兴业银行定期存款20250702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XJCKX202505140001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341,250,338.91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上海银行定期存款20250709</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009532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广发景明中短债E</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299,303,203.33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农业银行定期存款20250711A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199,350,134.04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174,676,847.25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ZJQTT202401220001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153,801,308.34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2.41</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0101090000000655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992736602.81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交易对手</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3733411.77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424250.43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418990.37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