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南银理财珠联璧合悦稳（最低持有91天）公募人民币理财产品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南银理财珠联璧合悦稳（最低持有91天）公募人民币理财产品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Z7003222000021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2022年03月30日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8,967,262,512.30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华泰资产管理有限公司,华鑫证券有限责任公司,国投泰康信托有限公司,紫金信托有限责任公司,鑫元基金管理有限公司,陆家嘴国际信托有限公司,平安资产管理有限责任公司,长江养老保险股份有限公司,太平洋资产管理有限责任公司,江苏省国际信托有限责任公司,长城财富保险资产管理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6,607,060,887.46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A32002</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627,197,440.15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1.1161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1.1161</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A32003</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42,739,897.21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1,593,834,305.57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616,269,088.89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A32130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6,582,125.13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NYYW000004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478,598,288.34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1.1128</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A32001份额净值为1.1116元，A32002份额净值为1.1161元，A32003份额净值为1.1062元，A32004份额净值为1.1116元，A32115份额净值为1.1130元，A32130份额净值为1.1114元，NYYW000004份额净值为1.1128</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99.69%</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94.33%</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0.31%</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5.67%</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1,246,690,339.51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ZJQTT202202160001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鑫元基金-鑫安利得57号集合资产管理计划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990,025,616.54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889,997,916.24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825,185,857.18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568,123,021.15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562,466,506.59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537,768,350.82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521,166,603.51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312510012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25中行TLAC非资本债02(BC)</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503,111,000.00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112602033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26工商银行CD033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494,413,000.00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0120080000000782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南银理财悦稳最低持有91天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2702848.82</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54954.60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158940.64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612734.37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