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南银理财鼎瑞悦稳天添盈2号开放式公募人民币理财产品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南银理财鼎瑞悦稳天添盈2号开放式公募人民币理财产品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Z7003223000013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2023年01月17日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1,345,613,686.89</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华泰资产管理有限公司,国投泰康信托有限公司,中国人保资产管理有限公司,太平洋资产管理有限责任公司,江苏省国际信托有限责任公司,光大永明资产管理股份有限公司,长城财富保险资产管理股份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A30005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1,014,585,207.17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1.0813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1.0813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A30007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414,689,188.01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A30008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24,186,772.48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1.0776</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债市整体震荡走强，呈现"牛平"特征，长端收益率下行幅度大于短端。经济基本面延续弱修复格局，信贷需求持续偏弱（5月新增贷款同比少增约1000亿），社融存量增速降至7.7%，内需不足与"资产荒"逻辑贯穿全季，为债市提供持续支撑。资金面呈"前松后紧、季末呵护"格局，央行自3月起通过买断式逆回购连续净回笼纠偏前期超宽流动性，6月DR001中枢回升至1.38%，季末首发隔夜逆回购工具平抑跨季波动。国际上，地缘冲突边际缓和，输入性通胀压力较Q1有所减轻。机构配置方面，银行配置盘与交易盘接力买入，信用利差3Y及5Y各评级普遍收窄。市场表现上，10年期国债收益率由季初1.82%下行9BP至1.73%，季内低点触及1.70%。</w:t>
        <w:br w:type="textWrapping" w:clear="all"/>
      </w:r>
      <w:r>
        <w:rPr>
          <w:rFonts w:ascii="方正仿宋简体" w:eastAsia="方正仿宋简体" w:hint="eastAsia"/>
          <w:sz w:val="24"/>
          <w:szCs w:val="24"/>
        </w:rPr>
        <w:t>  展望三季度，债市大概率延续低位区间震荡格局，10年期国债收益率预计围绕1.70%-1.80%运行。经济基本面内需不足格局短期难改善，信贷增速持续下行深化"资产荒"，对利率形成底部支撑；但10年期国债与政策利率利差已压缩至约33BP的历史低位，进一步下行需降息落地配合。资金面预计中性偏松、波动收敛，DR001围绕1.40%窄幅运行。Q3政府债供给高峰对流动性形成阶段冲击，交易盘拥挤度较高，止盈可能放大波动。整体策略上，趋势性机会需等待降息催化，区间内以票息持有和波段交易为主。</w:t>
        <w:br w:type="textWrapping" w:clear="all"/>
      </w:r>
      <w:r>
        <w:rPr>
          <w:rFonts w:ascii="方正仿宋简体" w:eastAsia="方正仿宋简体" w:hint="eastAsia"/>
          <w:sz w:val="24"/>
          <w:szCs w:val="24"/>
        </w:rPr>
        <w:t>  操作方面，本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A30005份额净值为1.0813元，A30007份额净值为1.0773元，A30008份额净值为1.0776</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97.33%</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2.67%</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244,325,660.70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200,561,826.46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人保资产稳盈专享3号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102,425,589.49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ZJQTT202404280022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光大永明资产稳健增利集合资产管理产品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100,272,216.37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112690720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26山西银行CD006</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98,809,700.00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112690251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26乐山商行CD002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98,349,500.00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91,478,189.46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76,266,003.08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032482005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24新合盛PPN002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70,772,170.00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032481575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24江宁水PPN001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60,505,620.00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4.16</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0120010000001025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南银理财鼎瑞悦稳天添盈2号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24江宁水PPN001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032481575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61264915.07</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103768236.43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834209.05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98741.06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