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357" w:rsidRDefault="00E118CA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嘉银年年盈开放式净值型理财产品</w:t>
      </w:r>
      <w:r>
        <w:rPr>
          <w:rFonts w:ascii="宋体" w:hAnsi="宋体"/>
          <w:b/>
          <w:sz w:val="32"/>
          <w:szCs w:val="32"/>
        </w:rPr>
        <w:t>20</w:t>
      </w:r>
      <w:r>
        <w:rPr>
          <w:rFonts w:ascii="宋体" w:hAnsi="宋体" w:hint="eastAsia"/>
          <w:b/>
          <w:sz w:val="32"/>
          <w:szCs w:val="32"/>
        </w:rPr>
        <w:t>26</w:t>
      </w:r>
      <w:r>
        <w:rPr>
          <w:rFonts w:ascii="宋体" w:hAnsi="宋体"/>
          <w:b/>
          <w:sz w:val="32"/>
          <w:szCs w:val="32"/>
        </w:rPr>
        <w:t>年第</w:t>
      </w:r>
      <w:r>
        <w:rPr>
          <w:rFonts w:ascii="宋体" w:hAnsi="宋体" w:hint="eastAsia"/>
          <w:b/>
          <w:sz w:val="32"/>
          <w:szCs w:val="32"/>
        </w:rPr>
        <w:t>1</w:t>
      </w:r>
      <w:r>
        <w:rPr>
          <w:rFonts w:ascii="宋体" w:hAnsi="宋体"/>
          <w:b/>
          <w:sz w:val="32"/>
          <w:szCs w:val="32"/>
        </w:rPr>
        <w:t>季度报告</w:t>
      </w:r>
    </w:p>
    <w:p w:rsidR="00307357" w:rsidRDefault="00307357">
      <w:pPr>
        <w:pStyle w:val="1"/>
        <w:ind w:firstLine="0"/>
        <w:jc w:val="left"/>
        <w:rPr>
          <w:rFonts w:ascii="宋体" w:hAnsi="宋体"/>
          <w:b/>
          <w:bCs/>
          <w:sz w:val="30"/>
          <w:szCs w:val="30"/>
        </w:rPr>
      </w:pPr>
    </w:p>
    <w:p w:rsidR="00307357" w:rsidRDefault="00307357">
      <w:pPr>
        <w:pStyle w:val="1"/>
        <w:ind w:firstLine="0"/>
        <w:jc w:val="left"/>
        <w:rPr>
          <w:rFonts w:ascii="宋体" w:hAnsi="宋体"/>
          <w:b/>
          <w:bCs/>
          <w:sz w:val="30"/>
          <w:szCs w:val="30"/>
        </w:rPr>
      </w:pPr>
    </w:p>
    <w:p w:rsidR="00307357" w:rsidRDefault="00E118CA">
      <w:pPr>
        <w:pStyle w:val="1"/>
        <w:numPr>
          <w:ilvl w:val="0"/>
          <w:numId w:val="1"/>
        </w:numPr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30"/>
          <w:szCs w:val="30"/>
        </w:rPr>
        <w:t>产品基本情况</w:t>
      </w:r>
    </w:p>
    <w:tbl>
      <w:tblPr>
        <w:tblW w:w="8400" w:type="dxa"/>
        <w:tblInd w:w="91" w:type="dxa"/>
        <w:tblLayout w:type="fixed"/>
        <w:tblLook w:val="04A0"/>
      </w:tblPr>
      <w:tblGrid>
        <w:gridCol w:w="4305"/>
        <w:gridCol w:w="4095"/>
      </w:tblGrid>
      <w:tr w:rsidR="00307357">
        <w:trPr>
          <w:trHeight w:val="378"/>
        </w:trPr>
        <w:tc>
          <w:tcPr>
            <w:tcW w:w="430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57" w:rsidRDefault="00E118CA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产品名称</w:t>
            </w:r>
          </w:p>
        </w:tc>
        <w:tc>
          <w:tcPr>
            <w:tcW w:w="409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07357" w:rsidRDefault="00E118CA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嘉银年年盈开放式净值型理财产品</w:t>
            </w:r>
          </w:p>
        </w:tc>
      </w:tr>
      <w:tr w:rsidR="00307357">
        <w:trPr>
          <w:trHeight w:val="378"/>
        </w:trPr>
        <w:tc>
          <w:tcPr>
            <w:tcW w:w="43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57" w:rsidRDefault="00E118CA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产品代码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07357" w:rsidRDefault="00E118CA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/>
                <w:color w:val="000000"/>
                <w:kern w:val="0"/>
                <w:sz w:val="22"/>
              </w:rPr>
              <w:t>NNY</w:t>
            </w:r>
          </w:p>
        </w:tc>
      </w:tr>
      <w:tr w:rsidR="00307357">
        <w:trPr>
          <w:trHeight w:val="378"/>
        </w:trPr>
        <w:tc>
          <w:tcPr>
            <w:tcW w:w="43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57" w:rsidRDefault="00E118CA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全国银行业理财信息登记系统登记编码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07357" w:rsidRDefault="00E118CA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/>
                <w:color w:val="000000"/>
                <w:kern w:val="0"/>
                <w:sz w:val="22"/>
              </w:rPr>
              <w:t>C1092321000016</w:t>
            </w:r>
          </w:p>
        </w:tc>
      </w:tr>
      <w:tr w:rsidR="00307357">
        <w:trPr>
          <w:trHeight w:val="378"/>
        </w:trPr>
        <w:tc>
          <w:tcPr>
            <w:tcW w:w="43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57" w:rsidRDefault="00E118CA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产品运作方式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07357" w:rsidRDefault="00E118CA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开放式净值型</w:t>
            </w:r>
          </w:p>
        </w:tc>
      </w:tr>
      <w:tr w:rsidR="00307357">
        <w:trPr>
          <w:trHeight w:val="378"/>
        </w:trPr>
        <w:tc>
          <w:tcPr>
            <w:tcW w:w="43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57" w:rsidRDefault="00E118CA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报告期末产品份额总额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07357" w:rsidRDefault="00E118CA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272,166,631.55</w:t>
            </w:r>
          </w:p>
        </w:tc>
      </w:tr>
      <w:tr w:rsidR="00307357">
        <w:trPr>
          <w:trHeight w:val="378"/>
        </w:trPr>
        <w:tc>
          <w:tcPr>
            <w:tcW w:w="43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57" w:rsidRDefault="00E118CA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产品类型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07357" w:rsidRDefault="00E118CA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固定收益类</w:t>
            </w:r>
          </w:p>
        </w:tc>
      </w:tr>
      <w:tr w:rsidR="00307357">
        <w:trPr>
          <w:trHeight w:val="378"/>
        </w:trPr>
        <w:tc>
          <w:tcPr>
            <w:tcW w:w="43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57" w:rsidRDefault="00E118CA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报告期末</w:t>
            </w:r>
            <w:r>
              <w:rPr>
                <w:rFonts w:ascii="宋体" w:hAnsi="宋体" w:hint="eastAsia"/>
                <w:color w:val="000000"/>
                <w:kern w:val="0"/>
                <w:sz w:val="22"/>
              </w:rPr>
              <w:t>业绩比较基准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07357" w:rsidRDefault="00E118CA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Calibri" w:hAnsi="Calibri" w:cs="Calibri"/>
                <w:color w:val="555555"/>
                <w:sz w:val="24"/>
                <w:szCs w:val="24"/>
              </w:rPr>
              <w:t>1.95%-2.35%</w:t>
            </w:r>
          </w:p>
        </w:tc>
      </w:tr>
      <w:tr w:rsidR="00307357">
        <w:trPr>
          <w:trHeight w:val="378"/>
        </w:trPr>
        <w:tc>
          <w:tcPr>
            <w:tcW w:w="43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57" w:rsidRDefault="00E118CA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管理人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07357" w:rsidRDefault="00E118CA">
            <w:pPr>
              <w:pStyle w:val="a6"/>
              <w:widowControl/>
              <w:spacing w:before="0" w:beforeAutospacing="0" w:after="0" w:afterAutospacing="0"/>
              <w:rPr>
                <w:rFonts w:ascii="宋体" w:hAnsi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嘉兴银行股份有限公司</w:t>
            </w:r>
          </w:p>
        </w:tc>
      </w:tr>
      <w:tr w:rsidR="00307357">
        <w:trPr>
          <w:trHeight w:val="378"/>
        </w:trPr>
        <w:tc>
          <w:tcPr>
            <w:tcW w:w="430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07357" w:rsidRDefault="00E118CA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托管人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7357" w:rsidRDefault="00E118CA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兴业银行股份有限公司</w:t>
            </w:r>
          </w:p>
        </w:tc>
      </w:tr>
    </w:tbl>
    <w:p w:rsidR="00307357" w:rsidRDefault="00307357">
      <w:pPr>
        <w:rPr>
          <w:rFonts w:ascii="宋体" w:hAnsi="宋体"/>
          <w:sz w:val="22"/>
        </w:rPr>
      </w:pPr>
    </w:p>
    <w:p w:rsidR="00307357" w:rsidRDefault="00307357">
      <w:pPr>
        <w:pStyle w:val="1"/>
        <w:ind w:firstLine="0"/>
        <w:jc w:val="left"/>
        <w:rPr>
          <w:rFonts w:ascii="宋体" w:hAnsi="宋体"/>
          <w:b/>
          <w:bCs/>
          <w:sz w:val="30"/>
          <w:szCs w:val="30"/>
        </w:rPr>
      </w:pPr>
    </w:p>
    <w:p w:rsidR="00307357" w:rsidRDefault="00E118CA">
      <w:pPr>
        <w:pStyle w:val="1"/>
        <w:numPr>
          <w:ilvl w:val="0"/>
          <w:numId w:val="1"/>
        </w:numPr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30"/>
          <w:szCs w:val="30"/>
        </w:rPr>
        <w:t>产品收益</w:t>
      </w:r>
      <w:r>
        <w:rPr>
          <w:rFonts w:ascii="宋体" w:hAnsi="宋体" w:hint="eastAsia"/>
          <w:b/>
          <w:bCs/>
          <w:sz w:val="30"/>
          <w:szCs w:val="30"/>
        </w:rPr>
        <w:t>/</w:t>
      </w:r>
      <w:r>
        <w:rPr>
          <w:rFonts w:ascii="宋体" w:hAnsi="宋体" w:hint="eastAsia"/>
          <w:b/>
          <w:bCs/>
          <w:sz w:val="30"/>
          <w:szCs w:val="30"/>
        </w:rPr>
        <w:t>净值表现</w:t>
      </w:r>
    </w:p>
    <w:p w:rsidR="00307357" w:rsidRDefault="00E118CA">
      <w:pPr>
        <w:ind w:firstLine="440"/>
        <w:jc w:val="left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报告期末，产品净值表现如下：</w:t>
      </w:r>
    </w:p>
    <w:tbl>
      <w:tblPr>
        <w:tblW w:w="8506" w:type="dxa"/>
        <w:tblLayout w:type="fixed"/>
        <w:tblLook w:val="04A0"/>
      </w:tblPr>
      <w:tblGrid>
        <w:gridCol w:w="1801"/>
        <w:gridCol w:w="2145"/>
        <w:gridCol w:w="2145"/>
        <w:gridCol w:w="2415"/>
      </w:tblGrid>
      <w:tr w:rsidR="00307357">
        <w:trPr>
          <w:trHeight w:val="509"/>
        </w:trPr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07357" w:rsidRDefault="00E118CA">
            <w:pPr>
              <w:ind w:left="30" w:right="30"/>
              <w:jc w:val="center"/>
              <w:rPr>
                <w:rFonts w:asciiTheme="minorEastAsia" w:eastAsiaTheme="minorEastAsia" w:hAnsiTheme="minorEastAsia" w:cstheme="minorEastAsia"/>
                <w:sz w:val="22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2"/>
              </w:rPr>
              <w:t>报告时点</w:t>
            </w:r>
          </w:p>
        </w:tc>
        <w:tc>
          <w:tcPr>
            <w:tcW w:w="2145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07357" w:rsidRDefault="00E118CA">
            <w:pPr>
              <w:ind w:right="30"/>
              <w:jc w:val="center"/>
              <w:rPr>
                <w:rFonts w:asciiTheme="minorEastAsia" w:eastAsiaTheme="minorEastAsia" w:hAnsiTheme="minorEastAsia" w:cstheme="minorEastAsia"/>
                <w:sz w:val="22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产品份额净值</w:t>
            </w:r>
          </w:p>
        </w:tc>
        <w:tc>
          <w:tcPr>
            <w:tcW w:w="214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307357" w:rsidRDefault="00E118CA">
            <w:pPr>
              <w:ind w:left="30" w:right="30"/>
              <w:jc w:val="center"/>
              <w:rPr>
                <w:rFonts w:asciiTheme="minorEastAsia" w:eastAsiaTheme="minorEastAsia" w:hAnsiTheme="minorEastAsia" w:cstheme="minorEastAsia"/>
                <w:color w:val="000000"/>
                <w:sz w:val="22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2"/>
              </w:rPr>
              <w:t>份额累计净值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307357" w:rsidRDefault="00E118CA">
            <w:pPr>
              <w:ind w:left="30" w:right="30"/>
              <w:jc w:val="center"/>
              <w:rPr>
                <w:rFonts w:asciiTheme="minorEastAsia" w:eastAsiaTheme="minorEastAsia" w:hAnsiTheme="minorEastAsia" w:cstheme="minorEastAsia"/>
                <w:sz w:val="22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2"/>
              </w:rPr>
              <w:t>产品资产净值</w:t>
            </w:r>
          </w:p>
        </w:tc>
      </w:tr>
      <w:tr w:rsidR="00307357">
        <w:trPr>
          <w:trHeight w:val="495"/>
        </w:trPr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noWrap/>
            <w:vAlign w:val="center"/>
          </w:tcPr>
          <w:p w:rsidR="00307357" w:rsidRDefault="00E118CA">
            <w:pPr>
              <w:ind w:right="30"/>
              <w:jc w:val="center"/>
              <w:rPr>
                <w:rFonts w:asciiTheme="minorEastAsia" w:eastAsiaTheme="minorEastAsia" w:hAnsiTheme="minorEastAsia" w:cstheme="minorEastAsia"/>
                <w:sz w:val="22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202</w:t>
            </w: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6</w:t>
            </w: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/</w:t>
            </w: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3</w:t>
            </w: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/3</w:t>
            </w: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1</w:t>
            </w:r>
          </w:p>
        </w:tc>
        <w:tc>
          <w:tcPr>
            <w:tcW w:w="2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noWrap/>
            <w:vAlign w:val="center"/>
          </w:tcPr>
          <w:p w:rsidR="00307357" w:rsidRDefault="00E118CA">
            <w:pPr>
              <w:ind w:right="30"/>
              <w:jc w:val="center"/>
              <w:rPr>
                <w:rFonts w:asciiTheme="minorEastAsia" w:eastAsiaTheme="minorEastAsia" w:hAnsiTheme="minorEastAsia" w:cstheme="minorEastAsia"/>
                <w:sz w:val="22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1.236201</w:t>
            </w:r>
          </w:p>
        </w:tc>
        <w:tc>
          <w:tcPr>
            <w:tcW w:w="2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307357" w:rsidRDefault="00E118CA">
            <w:pPr>
              <w:ind w:right="30"/>
              <w:jc w:val="center"/>
              <w:rPr>
                <w:rFonts w:asciiTheme="minorEastAsia" w:eastAsiaTheme="minorEastAsia" w:hAnsiTheme="minorEastAsia" w:cstheme="minorEastAsia"/>
                <w:sz w:val="22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2"/>
              </w:rPr>
              <w:t>1.236201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307357" w:rsidRDefault="00E118CA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336,452,790.23</w:t>
            </w:r>
          </w:p>
        </w:tc>
      </w:tr>
    </w:tbl>
    <w:p w:rsidR="00307357" w:rsidRDefault="00307357">
      <w:pPr>
        <w:ind w:firstLine="440"/>
        <w:jc w:val="center"/>
        <w:rPr>
          <w:rFonts w:ascii="宋体" w:hAnsi="宋体"/>
          <w:sz w:val="22"/>
        </w:rPr>
      </w:pPr>
    </w:p>
    <w:p w:rsidR="00307357" w:rsidRDefault="00307357">
      <w:pPr>
        <w:ind w:firstLine="440"/>
        <w:jc w:val="center"/>
        <w:rPr>
          <w:rFonts w:ascii="宋体" w:hAnsi="宋体"/>
          <w:sz w:val="22"/>
        </w:rPr>
      </w:pPr>
    </w:p>
    <w:p w:rsidR="00307357" w:rsidRDefault="00E118CA">
      <w:pPr>
        <w:pStyle w:val="1"/>
        <w:numPr>
          <w:ilvl w:val="0"/>
          <w:numId w:val="1"/>
        </w:numPr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30"/>
          <w:szCs w:val="30"/>
        </w:rPr>
        <w:t>投资组合报告</w:t>
      </w:r>
    </w:p>
    <w:p w:rsidR="00307357" w:rsidRDefault="00E118CA">
      <w:pPr>
        <w:pStyle w:val="1"/>
        <w:ind w:firstLine="440"/>
        <w:jc w:val="left"/>
        <w:rPr>
          <w:rFonts w:ascii="宋体" w:hAnsi="宋体"/>
          <w:sz w:val="22"/>
          <w:szCs w:val="22"/>
        </w:rPr>
      </w:pPr>
      <w:r>
        <w:rPr>
          <w:rFonts w:ascii="宋体" w:hAnsi="宋体" w:hint="eastAsia"/>
          <w:sz w:val="22"/>
          <w:szCs w:val="22"/>
        </w:rPr>
        <w:t>报告期内，</w:t>
      </w:r>
      <w:r>
        <w:rPr>
          <w:rStyle w:val="a8"/>
          <w:rFonts w:hint="eastAsia"/>
          <w:color w:val="000000" w:themeColor="text1"/>
        </w:rPr>
        <w:t>本产品未进行收益分配，</w:t>
      </w:r>
      <w:r>
        <w:rPr>
          <w:rFonts w:ascii="宋体" w:hAnsi="宋体" w:hint="eastAsia"/>
          <w:sz w:val="22"/>
          <w:szCs w:val="22"/>
        </w:rPr>
        <w:t>本产品穿透前持仓以固定收益类资管计划</w:t>
      </w:r>
      <w:r>
        <w:rPr>
          <w:rFonts w:ascii="宋体" w:hAnsi="宋体" w:hint="eastAsia"/>
          <w:sz w:val="22"/>
          <w:szCs w:val="22"/>
        </w:rPr>
        <w:t>以及债券类资产为主</w:t>
      </w:r>
      <w:r>
        <w:rPr>
          <w:rFonts w:ascii="宋体" w:hAnsi="宋体" w:hint="eastAsia"/>
          <w:sz w:val="22"/>
          <w:szCs w:val="22"/>
        </w:rPr>
        <w:t>，穿透后持仓以债券类资产为主，杠杆率</w:t>
      </w:r>
      <w:r>
        <w:rPr>
          <w:rFonts w:ascii="宋体" w:hAnsi="宋体" w:hint="eastAsia"/>
          <w:sz w:val="22"/>
          <w:szCs w:val="22"/>
        </w:rPr>
        <w:t>106.4911%</w:t>
      </w:r>
      <w:r>
        <w:rPr>
          <w:rFonts w:ascii="宋体" w:hAnsi="宋体" w:hint="eastAsia"/>
          <w:sz w:val="22"/>
          <w:szCs w:val="22"/>
        </w:rPr>
        <w:t>，流动性较好，流动风险较低。</w:t>
      </w:r>
    </w:p>
    <w:p w:rsidR="00307357" w:rsidRDefault="00E118CA">
      <w:pPr>
        <w:pStyle w:val="2"/>
        <w:numPr>
          <w:ilvl w:val="0"/>
          <w:numId w:val="2"/>
        </w:numPr>
        <w:spacing w:before="0" w:after="0"/>
        <w:jc w:val="left"/>
        <w:rPr>
          <w:rFonts w:ascii="宋体" w:hAnsi="宋体"/>
          <w:b w:val="0"/>
          <w:bCs w:val="0"/>
          <w:sz w:val="22"/>
          <w:szCs w:val="22"/>
        </w:rPr>
      </w:pPr>
      <w:r>
        <w:rPr>
          <w:rFonts w:ascii="宋体" w:hAnsi="宋体" w:hint="eastAsia"/>
          <w:b w:val="0"/>
          <w:bCs w:val="0"/>
          <w:sz w:val="22"/>
          <w:szCs w:val="22"/>
        </w:rPr>
        <w:t>报告期末产品资产组合情况</w:t>
      </w:r>
    </w:p>
    <w:tbl>
      <w:tblPr>
        <w:tblW w:w="8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20"/>
        <w:gridCol w:w="4125"/>
      </w:tblGrid>
      <w:tr w:rsidR="00307357">
        <w:trPr>
          <w:trHeight w:val="34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资产类型</w:t>
            </w: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占总资产比例</w:t>
            </w:r>
          </w:p>
        </w:tc>
      </w:tr>
      <w:tr w:rsidR="00307357">
        <w:trPr>
          <w:trHeight w:val="34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固定收益类</w:t>
            </w: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100.00%</w:t>
            </w:r>
          </w:p>
        </w:tc>
      </w:tr>
      <w:tr w:rsidR="00307357">
        <w:trPr>
          <w:trHeight w:val="34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权益类</w:t>
            </w: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0.00%</w:t>
            </w:r>
          </w:p>
        </w:tc>
      </w:tr>
      <w:tr w:rsidR="00307357">
        <w:trPr>
          <w:trHeight w:val="34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商品及金融衍生品类</w:t>
            </w: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0.00%</w:t>
            </w:r>
          </w:p>
        </w:tc>
      </w:tr>
      <w:tr w:rsidR="00307357">
        <w:trPr>
          <w:trHeight w:val="34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混合类</w:t>
            </w: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0.00%</w:t>
            </w:r>
          </w:p>
        </w:tc>
      </w:tr>
      <w:tr w:rsidR="00307357">
        <w:trPr>
          <w:trHeight w:val="34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合计</w:t>
            </w: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100.00%</w:t>
            </w:r>
          </w:p>
        </w:tc>
      </w:tr>
    </w:tbl>
    <w:p w:rsidR="00307357" w:rsidRDefault="00307357">
      <w:pPr>
        <w:rPr>
          <w:rFonts w:ascii="宋体" w:hAnsi="宋体"/>
          <w:b/>
          <w:bCs/>
          <w:sz w:val="22"/>
        </w:rPr>
      </w:pPr>
    </w:p>
    <w:p w:rsidR="00307357" w:rsidRDefault="00307357">
      <w:pPr>
        <w:rPr>
          <w:rFonts w:ascii="宋体" w:hAnsi="宋体"/>
          <w:b/>
          <w:bCs/>
          <w:sz w:val="22"/>
        </w:rPr>
      </w:pPr>
    </w:p>
    <w:p w:rsidR="00307357" w:rsidRDefault="00E118CA">
      <w:pPr>
        <w:pStyle w:val="2"/>
        <w:spacing w:before="0" w:after="0"/>
        <w:jc w:val="left"/>
        <w:rPr>
          <w:rFonts w:ascii="宋体" w:hAnsi="宋体"/>
          <w:b w:val="0"/>
          <w:bCs w:val="0"/>
          <w:sz w:val="22"/>
          <w:szCs w:val="22"/>
        </w:rPr>
      </w:pPr>
      <w:r>
        <w:rPr>
          <w:rFonts w:ascii="宋体" w:hAnsi="宋体" w:hint="eastAsia"/>
          <w:b w:val="0"/>
          <w:bCs w:val="0"/>
          <w:sz w:val="22"/>
          <w:szCs w:val="22"/>
        </w:rPr>
        <w:t>2.</w:t>
      </w:r>
      <w:r>
        <w:rPr>
          <w:rFonts w:ascii="宋体" w:hAnsi="宋体" w:hint="eastAsia"/>
          <w:b w:val="0"/>
          <w:bCs w:val="0"/>
          <w:sz w:val="22"/>
          <w:szCs w:val="22"/>
        </w:rPr>
        <w:t>报告期末</w:t>
      </w:r>
      <w:r>
        <w:rPr>
          <w:rFonts w:ascii="宋体" w:hAnsi="宋体" w:hint="eastAsia"/>
          <w:b w:val="0"/>
          <w:bCs w:val="0"/>
          <w:sz w:val="22"/>
          <w:szCs w:val="22"/>
        </w:rPr>
        <w:t>穿透前</w:t>
      </w:r>
      <w:r>
        <w:rPr>
          <w:rFonts w:ascii="宋体" w:hAnsi="宋体" w:hint="eastAsia"/>
          <w:b w:val="0"/>
          <w:bCs w:val="0"/>
          <w:sz w:val="22"/>
          <w:szCs w:val="22"/>
        </w:rPr>
        <w:t>资产持仓前十基本信息</w:t>
      </w:r>
      <w:r>
        <w:rPr>
          <w:rFonts w:ascii="宋体" w:hAnsi="宋体" w:hint="eastAsia"/>
          <w:b w:val="0"/>
          <w:bCs w:val="0"/>
          <w:sz w:val="22"/>
          <w:szCs w:val="22"/>
        </w:rPr>
        <w:t>（不含现金及买入返售）</w:t>
      </w:r>
    </w:p>
    <w:tbl>
      <w:tblPr>
        <w:tblW w:w="8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5"/>
        <w:gridCol w:w="1503"/>
        <w:gridCol w:w="3069"/>
        <w:gridCol w:w="2114"/>
        <w:gridCol w:w="1189"/>
      </w:tblGrid>
      <w:tr w:rsidR="00307357">
        <w:trPr>
          <w:trHeight w:val="34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序号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资产种类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资产名称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资产规模</w:t>
            </w:r>
            <w:r>
              <w:rPr>
                <w:rFonts w:ascii="宋体" w:hAnsi="宋体" w:cs="宋体"/>
                <w:b/>
                <w:color w:val="000000"/>
                <w:sz w:val="22"/>
              </w:rPr>
              <w:t>(</w:t>
            </w:r>
            <w:r>
              <w:rPr>
                <w:rFonts w:ascii="宋体" w:hAnsi="宋体" w:cs="宋体"/>
                <w:b/>
                <w:color w:val="000000"/>
                <w:sz w:val="22"/>
              </w:rPr>
              <w:t>元</w:t>
            </w:r>
            <w:r>
              <w:rPr>
                <w:rFonts w:ascii="宋体" w:hAnsi="宋体" w:cs="宋体"/>
                <w:b/>
                <w:color w:val="000000"/>
                <w:sz w:val="22"/>
              </w:rPr>
              <w:t>)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资产比例</w:t>
            </w:r>
          </w:p>
        </w:tc>
      </w:tr>
      <w:tr w:rsidR="00307357">
        <w:trPr>
          <w:trHeight w:val="34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1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信托计划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华鑫信托鸿运高照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号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154,762,739.36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43.19%</w:t>
            </w:r>
          </w:p>
        </w:tc>
      </w:tr>
      <w:tr w:rsidR="00307357">
        <w:trPr>
          <w:trHeight w:val="34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2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资管产品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民生通惠民汇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号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50,504,642.72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14.10%</w:t>
            </w:r>
          </w:p>
        </w:tc>
      </w:tr>
      <w:tr w:rsidR="00307357">
        <w:trPr>
          <w:trHeight w:val="34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3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政策性金融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债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国开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07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30,566,465.75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8.53%</w:t>
            </w:r>
          </w:p>
        </w:tc>
      </w:tr>
      <w:tr w:rsidR="00307357">
        <w:trPr>
          <w:trHeight w:val="34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4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公司债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修竹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02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30,516,867.12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8.52%</w:t>
            </w:r>
          </w:p>
        </w:tc>
      </w:tr>
      <w:tr w:rsidR="00307357">
        <w:trPr>
          <w:trHeight w:val="34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5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公司债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安交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02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21,012,857.53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5.86%</w:t>
            </w:r>
          </w:p>
        </w:tc>
      </w:tr>
      <w:tr w:rsidR="00307357">
        <w:trPr>
          <w:trHeight w:val="34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6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资管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计划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创金合信恒利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56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号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10,765,511.46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3.00%</w:t>
            </w:r>
          </w:p>
        </w:tc>
      </w:tr>
      <w:tr w:rsidR="00307357">
        <w:trPr>
          <w:trHeight w:val="34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7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公司债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南开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02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10,173,998.63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2.84%</w:t>
            </w:r>
          </w:p>
        </w:tc>
      </w:tr>
      <w:tr w:rsidR="00307357">
        <w:trPr>
          <w:trHeight w:val="34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jc w:val="center"/>
            </w:pPr>
            <w:r>
              <w:rPr>
                <w:rFonts w:ascii="宋体" w:hAnsi="宋体" w:cs="宋体"/>
                <w:color w:val="000000"/>
                <w:sz w:val="22"/>
              </w:rPr>
              <w:t>8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公司债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东海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C2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6,244,602.74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1.74%</w:t>
            </w:r>
          </w:p>
        </w:tc>
      </w:tr>
    </w:tbl>
    <w:p w:rsidR="00307357" w:rsidRDefault="00E118CA">
      <w:pPr>
        <w:pStyle w:val="2"/>
        <w:spacing w:before="0" w:after="0"/>
        <w:jc w:val="left"/>
        <w:rPr>
          <w:rFonts w:ascii="宋体" w:hAnsi="宋体"/>
          <w:b w:val="0"/>
          <w:bCs w:val="0"/>
          <w:sz w:val="22"/>
          <w:szCs w:val="22"/>
        </w:rPr>
      </w:pPr>
      <w:r>
        <w:rPr>
          <w:rFonts w:ascii="宋体" w:hAnsi="宋体" w:hint="eastAsia"/>
          <w:b w:val="0"/>
          <w:bCs w:val="0"/>
          <w:sz w:val="22"/>
          <w:szCs w:val="22"/>
        </w:rPr>
        <w:t>3</w:t>
      </w:r>
      <w:r>
        <w:rPr>
          <w:rFonts w:ascii="宋体" w:hAnsi="宋体" w:hint="eastAsia"/>
          <w:b w:val="0"/>
          <w:bCs w:val="0"/>
          <w:sz w:val="22"/>
          <w:szCs w:val="22"/>
        </w:rPr>
        <w:t>.</w:t>
      </w:r>
      <w:r>
        <w:rPr>
          <w:rFonts w:ascii="宋体" w:hAnsi="宋体" w:hint="eastAsia"/>
          <w:b w:val="0"/>
          <w:bCs w:val="0"/>
          <w:sz w:val="22"/>
          <w:szCs w:val="22"/>
        </w:rPr>
        <w:t>报告期末</w:t>
      </w:r>
      <w:r>
        <w:rPr>
          <w:rFonts w:ascii="宋体" w:hAnsi="宋体" w:hint="eastAsia"/>
          <w:b w:val="0"/>
          <w:bCs w:val="0"/>
          <w:sz w:val="22"/>
          <w:szCs w:val="22"/>
        </w:rPr>
        <w:t>穿透后</w:t>
      </w:r>
      <w:r>
        <w:rPr>
          <w:rFonts w:ascii="宋体" w:hAnsi="宋体" w:hint="eastAsia"/>
          <w:b w:val="0"/>
          <w:bCs w:val="0"/>
          <w:sz w:val="22"/>
          <w:szCs w:val="22"/>
        </w:rPr>
        <w:t>资产持仓前十基本信息</w:t>
      </w:r>
      <w:r>
        <w:rPr>
          <w:rFonts w:ascii="宋体" w:hAnsi="宋体" w:hint="eastAsia"/>
          <w:b w:val="0"/>
          <w:bCs w:val="0"/>
          <w:sz w:val="22"/>
          <w:szCs w:val="22"/>
        </w:rPr>
        <w:t>（不含现金及买入返售）</w:t>
      </w:r>
    </w:p>
    <w:tbl>
      <w:tblPr>
        <w:tblW w:w="8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0"/>
        <w:gridCol w:w="1488"/>
        <w:gridCol w:w="3110"/>
        <w:gridCol w:w="2128"/>
        <w:gridCol w:w="1164"/>
      </w:tblGrid>
      <w:tr w:rsidR="00307357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序号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资产种类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资产名称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资产规模</w:t>
            </w:r>
            <w:r>
              <w:rPr>
                <w:rFonts w:ascii="宋体" w:hAnsi="宋体" w:cs="宋体"/>
                <w:b/>
                <w:color w:val="000000"/>
                <w:sz w:val="22"/>
              </w:rPr>
              <w:t>(</w:t>
            </w:r>
            <w:r>
              <w:rPr>
                <w:rFonts w:ascii="宋体" w:hAnsi="宋体" w:cs="宋体"/>
                <w:b/>
                <w:color w:val="000000"/>
                <w:sz w:val="22"/>
              </w:rPr>
              <w:t>元</w:t>
            </w:r>
            <w:r>
              <w:rPr>
                <w:rFonts w:ascii="宋体" w:hAnsi="宋体" w:cs="宋体"/>
                <w:b/>
                <w:color w:val="000000"/>
                <w:sz w:val="22"/>
              </w:rPr>
              <w:t>)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jc w:val="center"/>
            </w:pPr>
            <w:r>
              <w:rPr>
                <w:rFonts w:ascii="宋体" w:hAnsi="宋体" w:cs="宋体"/>
                <w:b/>
                <w:color w:val="000000"/>
                <w:sz w:val="22"/>
              </w:rPr>
              <w:t>资产比例</w:t>
            </w:r>
          </w:p>
        </w:tc>
      </w:tr>
      <w:tr w:rsidR="00307357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1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政策性金融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债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国开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07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30,566,465.75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307357" w:rsidRDefault="00E118C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7.99%</w:t>
            </w:r>
          </w:p>
        </w:tc>
      </w:tr>
      <w:tr w:rsidR="00307357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公司债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修竹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02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30,516,867.12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307357" w:rsidRDefault="00E118C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7.98%</w:t>
            </w:r>
          </w:p>
        </w:tc>
      </w:tr>
      <w:tr w:rsidR="00307357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3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公司债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安交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02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21,012,857.53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307357" w:rsidRDefault="00E118C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5.49%</w:t>
            </w:r>
          </w:p>
        </w:tc>
      </w:tr>
      <w:tr w:rsidR="00307357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4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公司债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虞山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01</w:t>
            </w:r>
            <w:bookmarkStart w:id="0" w:name="_GoBack"/>
            <w:bookmarkEnd w:id="0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18,108,204.07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4.73%</w:t>
            </w:r>
          </w:p>
        </w:tc>
      </w:tr>
      <w:tr w:rsidR="00307357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5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公司债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泉新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02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10,961,321.41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2.87%</w:t>
            </w:r>
          </w:p>
        </w:tc>
      </w:tr>
      <w:tr w:rsidR="00307357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6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公司债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南开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02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10,173,998.63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2.66%</w:t>
            </w:r>
          </w:p>
        </w:tc>
      </w:tr>
      <w:tr w:rsidR="00307357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7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公司债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东海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C2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6,244,602.74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1.63%</w:t>
            </w:r>
          </w:p>
        </w:tc>
      </w:tr>
      <w:tr w:rsidR="00307357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8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公司债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浔新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01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5,998,891.08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1.57%</w:t>
            </w:r>
          </w:p>
        </w:tc>
      </w:tr>
      <w:tr w:rsidR="00307357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9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公司债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PR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象山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01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3,755,620.05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0.98%</w:t>
            </w:r>
          </w:p>
        </w:tc>
      </w:tr>
      <w:tr w:rsidR="00307357">
        <w:trPr>
          <w:trHeight w:val="2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10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同业存单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交通银行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CD265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874,099.67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80" w:type="dxa"/>
            </w:tcMar>
            <w:vAlign w:val="bottom"/>
          </w:tcPr>
          <w:p w:rsidR="00307357" w:rsidRDefault="00E11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0.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3%</w:t>
            </w:r>
          </w:p>
        </w:tc>
      </w:tr>
    </w:tbl>
    <w:p w:rsidR="00307357" w:rsidRDefault="00307357"/>
    <w:p w:rsidR="00307357" w:rsidRDefault="00E118CA">
      <w:pPr>
        <w:pStyle w:val="1"/>
        <w:numPr>
          <w:ilvl w:val="0"/>
          <w:numId w:val="1"/>
        </w:numPr>
        <w:jc w:val="left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投资账户信息</w:t>
      </w:r>
    </w:p>
    <w:tbl>
      <w:tblPr>
        <w:tblW w:w="8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59"/>
        <w:gridCol w:w="4107"/>
      </w:tblGrid>
      <w:tr w:rsidR="00307357">
        <w:tc>
          <w:tcPr>
            <w:tcW w:w="2602" w:type="pct"/>
          </w:tcPr>
          <w:p w:rsidR="00307357" w:rsidRDefault="00E118CA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2"/>
              </w:rPr>
              <w:t>交易场所</w:t>
            </w:r>
          </w:p>
        </w:tc>
        <w:tc>
          <w:tcPr>
            <w:tcW w:w="2397" w:type="pct"/>
          </w:tcPr>
          <w:p w:rsidR="00307357" w:rsidRDefault="00E118CA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2"/>
              </w:rPr>
              <w:t>账号</w:t>
            </w:r>
          </w:p>
        </w:tc>
      </w:tr>
      <w:tr w:rsidR="00307357">
        <w:tc>
          <w:tcPr>
            <w:tcW w:w="2602" w:type="pct"/>
          </w:tcPr>
          <w:p w:rsidR="00307357" w:rsidRDefault="00E118CA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2"/>
              </w:rPr>
              <w:t>银行间市场清算所账号</w:t>
            </w:r>
          </w:p>
        </w:tc>
        <w:tc>
          <w:tcPr>
            <w:tcW w:w="2397" w:type="pct"/>
          </w:tcPr>
          <w:p w:rsidR="00307357" w:rsidRDefault="00E118CA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/>
                <w:bCs/>
                <w:color w:val="000000"/>
                <w:kern w:val="0"/>
                <w:sz w:val="22"/>
              </w:rPr>
              <w:t>B2410787</w:t>
            </w:r>
          </w:p>
        </w:tc>
      </w:tr>
      <w:tr w:rsidR="00307357">
        <w:tc>
          <w:tcPr>
            <w:tcW w:w="2602" w:type="pct"/>
          </w:tcPr>
          <w:p w:rsidR="00307357" w:rsidRDefault="00E118CA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2"/>
              </w:rPr>
              <w:t>中央结算公司账号</w:t>
            </w:r>
          </w:p>
        </w:tc>
        <w:tc>
          <w:tcPr>
            <w:tcW w:w="2397" w:type="pct"/>
          </w:tcPr>
          <w:p w:rsidR="00307357" w:rsidRDefault="00E118CA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/>
                <w:bCs/>
                <w:color w:val="000000"/>
                <w:kern w:val="0"/>
                <w:sz w:val="22"/>
              </w:rPr>
              <w:t>00000054204</w:t>
            </w:r>
          </w:p>
        </w:tc>
      </w:tr>
      <w:tr w:rsidR="00307357">
        <w:tc>
          <w:tcPr>
            <w:tcW w:w="2602" w:type="pct"/>
          </w:tcPr>
          <w:p w:rsidR="00307357" w:rsidRDefault="00E118CA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2"/>
              </w:rPr>
              <w:t>上海证券交易所账号</w:t>
            </w:r>
          </w:p>
        </w:tc>
        <w:tc>
          <w:tcPr>
            <w:tcW w:w="2397" w:type="pct"/>
          </w:tcPr>
          <w:p w:rsidR="00307357" w:rsidRDefault="00E118CA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/>
                <w:bCs/>
                <w:color w:val="000000"/>
                <w:kern w:val="0"/>
                <w:sz w:val="22"/>
              </w:rPr>
              <w:t>B884187057</w:t>
            </w:r>
          </w:p>
        </w:tc>
      </w:tr>
      <w:tr w:rsidR="00307357">
        <w:tc>
          <w:tcPr>
            <w:tcW w:w="2602" w:type="pct"/>
          </w:tcPr>
          <w:p w:rsidR="00307357" w:rsidRDefault="00E118CA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2"/>
              </w:rPr>
              <w:t>深圳证券交易所账号</w:t>
            </w:r>
          </w:p>
        </w:tc>
        <w:tc>
          <w:tcPr>
            <w:tcW w:w="2397" w:type="pct"/>
          </w:tcPr>
          <w:p w:rsidR="00307357" w:rsidRDefault="00E118CA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/>
                <w:bCs/>
                <w:color w:val="000000"/>
                <w:kern w:val="0"/>
                <w:sz w:val="22"/>
              </w:rPr>
              <w:t>0899286094</w:t>
            </w:r>
          </w:p>
        </w:tc>
      </w:tr>
    </w:tbl>
    <w:p w:rsidR="00307357" w:rsidRDefault="00E118CA">
      <w:pPr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18"/>
          <w:szCs w:val="18"/>
        </w:rPr>
        <w:t>注：理财产品托管人</w:t>
      </w:r>
      <w:r>
        <w:rPr>
          <w:rFonts w:ascii="宋体" w:hAnsi="宋体" w:hint="eastAsia"/>
          <w:sz w:val="18"/>
          <w:szCs w:val="18"/>
        </w:rPr>
        <w:t>兴业</w:t>
      </w:r>
      <w:r>
        <w:rPr>
          <w:rFonts w:ascii="宋体" w:hAnsi="宋体" w:hint="eastAsia"/>
          <w:sz w:val="18"/>
          <w:szCs w:val="18"/>
        </w:rPr>
        <w:t>银行股份有限公司根据托管协议规定，复核了本报告中的财务指标、净值表现和资产组合报告等内容，保证复核内容不存在虚假记载、误导性陈述。</w:t>
      </w:r>
    </w:p>
    <w:p w:rsidR="00307357" w:rsidRDefault="00E118CA">
      <w:pPr>
        <w:jc w:val="center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 xml:space="preserve">                                                </w:t>
      </w:r>
      <w:r>
        <w:rPr>
          <w:rFonts w:ascii="宋体" w:hAnsi="宋体" w:hint="eastAsia"/>
          <w:sz w:val="22"/>
        </w:rPr>
        <w:t>嘉兴银行股份有限公司</w:t>
      </w:r>
    </w:p>
    <w:p w:rsidR="00307357" w:rsidRDefault="00E118CA">
      <w:pPr>
        <w:jc w:val="center"/>
        <w:rPr>
          <w:b/>
        </w:rPr>
      </w:pPr>
      <w:r>
        <w:rPr>
          <w:rFonts w:ascii="宋体" w:hAnsi="宋体"/>
          <w:sz w:val="22"/>
        </w:rPr>
        <w:t>202</w:t>
      </w:r>
      <w:r>
        <w:rPr>
          <w:rFonts w:ascii="宋体" w:hAnsi="宋体" w:hint="eastAsia"/>
          <w:sz w:val="22"/>
        </w:rPr>
        <w:t>6</w:t>
      </w:r>
      <w:r>
        <w:rPr>
          <w:rFonts w:ascii="宋体" w:hAnsi="宋体"/>
          <w:sz w:val="22"/>
        </w:rPr>
        <w:t>年</w:t>
      </w:r>
      <w:r>
        <w:rPr>
          <w:rFonts w:ascii="宋体" w:hAnsi="宋体" w:hint="eastAsia"/>
          <w:sz w:val="22"/>
        </w:rPr>
        <w:t>04</w:t>
      </w:r>
      <w:r>
        <w:rPr>
          <w:rFonts w:ascii="宋体" w:hAnsi="宋体"/>
          <w:sz w:val="22"/>
        </w:rPr>
        <w:t>月</w:t>
      </w:r>
      <w:r w:rsidR="00A63D7F">
        <w:rPr>
          <w:rFonts w:ascii="宋体" w:hAnsi="宋体" w:hint="eastAsia"/>
          <w:sz w:val="22"/>
        </w:rPr>
        <w:t>10</w:t>
      </w:r>
      <w:r>
        <w:rPr>
          <w:rFonts w:ascii="宋体" w:hAnsi="宋体"/>
          <w:sz w:val="22"/>
        </w:rPr>
        <w:t>日</w:t>
      </w:r>
    </w:p>
    <w:sectPr w:rsidR="00307357" w:rsidSect="0030735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18CA" w:rsidRDefault="00E118CA" w:rsidP="00A63D7F">
      <w:r>
        <w:separator/>
      </w:r>
    </w:p>
  </w:endnote>
  <w:endnote w:type="continuationSeparator" w:id="1">
    <w:p w:rsidR="00E118CA" w:rsidRDefault="00E118CA" w:rsidP="00A63D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18CA" w:rsidRDefault="00E118CA" w:rsidP="00A63D7F">
      <w:r>
        <w:separator/>
      </w:r>
    </w:p>
  </w:footnote>
  <w:footnote w:type="continuationSeparator" w:id="1">
    <w:p w:rsidR="00E118CA" w:rsidRDefault="00E118CA" w:rsidP="00A63D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6B2465"/>
    <w:multiLevelType w:val="multilevel"/>
    <w:tmpl w:val="596B2465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  <w:sz w:val="3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41B07D7"/>
    <w:multiLevelType w:val="multilevel"/>
    <w:tmpl w:val="741B07D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rawingGridVerticalSpacing w:val="156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doNotLeaveBackslashAlone/>
    <w:ulTrailSpace/>
    <w:doNotExpandShiftReturn/>
    <w:doNotWrapTextWithPunct/>
    <w:doNotUseEastAsianBreakRules/>
    <w:useFELayout/>
    <w:doNotUseIndentAsNumberingTabStop/>
    <w:useAltKinsokuLineBreakRules/>
  </w:compat>
  <w:docVars>
    <w:docVar w:name="commondata" w:val="eyJoZGlkIjoiZDBlYTZlOGZlNjgwZTkwOTUzNTM1MTFkZTdkYWMwNGMifQ=="/>
  </w:docVars>
  <w:rsids>
    <w:rsidRoot w:val="00307357"/>
    <w:rsid w:val="00307357"/>
    <w:rsid w:val="00A63D7F"/>
    <w:rsid w:val="00E118CA"/>
    <w:rsid w:val="01172A03"/>
    <w:rsid w:val="03585C9F"/>
    <w:rsid w:val="076E4ACF"/>
    <w:rsid w:val="09CB759F"/>
    <w:rsid w:val="09D3436D"/>
    <w:rsid w:val="125F245C"/>
    <w:rsid w:val="12CC199D"/>
    <w:rsid w:val="13701A71"/>
    <w:rsid w:val="13BB7B66"/>
    <w:rsid w:val="14F97CF6"/>
    <w:rsid w:val="168C01FA"/>
    <w:rsid w:val="172C574A"/>
    <w:rsid w:val="179D298C"/>
    <w:rsid w:val="1E51361E"/>
    <w:rsid w:val="209716D6"/>
    <w:rsid w:val="23BE3D6C"/>
    <w:rsid w:val="25C71AD2"/>
    <w:rsid w:val="2F9F32E1"/>
    <w:rsid w:val="2FFE1E83"/>
    <w:rsid w:val="3005732A"/>
    <w:rsid w:val="34995A11"/>
    <w:rsid w:val="378B412B"/>
    <w:rsid w:val="3A287E8D"/>
    <w:rsid w:val="3A96260F"/>
    <w:rsid w:val="3BCF0DE5"/>
    <w:rsid w:val="3CCD6091"/>
    <w:rsid w:val="41526264"/>
    <w:rsid w:val="43244531"/>
    <w:rsid w:val="48995029"/>
    <w:rsid w:val="4BC13C6E"/>
    <w:rsid w:val="4CCE0821"/>
    <w:rsid w:val="4D445EFB"/>
    <w:rsid w:val="54D81ED3"/>
    <w:rsid w:val="57B45660"/>
    <w:rsid w:val="5F5A6F8F"/>
    <w:rsid w:val="607D2AD3"/>
    <w:rsid w:val="60E7781B"/>
    <w:rsid w:val="61001E54"/>
    <w:rsid w:val="635B76A3"/>
    <w:rsid w:val="65486DB7"/>
    <w:rsid w:val="66EE49DC"/>
    <w:rsid w:val="67A867E9"/>
    <w:rsid w:val="708A672D"/>
    <w:rsid w:val="73275F60"/>
    <w:rsid w:val="738901AA"/>
    <w:rsid w:val="75482DC8"/>
    <w:rsid w:val="783D1B4C"/>
    <w:rsid w:val="7F333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qFormat="1"/>
    <w:lsdException w:name="footer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307357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autoRedefine/>
    <w:uiPriority w:val="99"/>
    <w:qFormat/>
    <w:rsid w:val="00307357"/>
    <w:pPr>
      <w:keepNext/>
      <w:keepLines/>
      <w:spacing w:before="260" w:after="260" w:line="415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qFormat/>
    <w:rsid w:val="00307357"/>
    <w:rPr>
      <w:sz w:val="18"/>
      <w:szCs w:val="18"/>
    </w:rPr>
  </w:style>
  <w:style w:type="paragraph" w:styleId="a4">
    <w:name w:val="footer"/>
    <w:basedOn w:val="a"/>
    <w:link w:val="Char0"/>
    <w:autoRedefine/>
    <w:uiPriority w:val="99"/>
    <w:semiHidden/>
    <w:unhideWhenUsed/>
    <w:qFormat/>
    <w:rsid w:val="003073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autoRedefine/>
    <w:uiPriority w:val="99"/>
    <w:semiHidden/>
    <w:unhideWhenUsed/>
    <w:qFormat/>
    <w:rsid w:val="003073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autoRedefine/>
    <w:uiPriority w:val="99"/>
    <w:unhideWhenUsed/>
    <w:qFormat/>
    <w:rsid w:val="00307357"/>
    <w:pPr>
      <w:spacing w:before="100" w:beforeAutospacing="1" w:after="100" w:afterAutospacing="1"/>
      <w:jc w:val="left"/>
    </w:pPr>
    <w:rPr>
      <w:kern w:val="0"/>
      <w:sz w:val="24"/>
    </w:rPr>
  </w:style>
  <w:style w:type="table" w:styleId="a7">
    <w:name w:val="Table Grid"/>
    <w:basedOn w:val="a1"/>
    <w:autoRedefine/>
    <w:uiPriority w:val="59"/>
    <w:qFormat/>
    <w:rsid w:val="0030735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autoRedefine/>
    <w:uiPriority w:val="99"/>
    <w:qFormat/>
    <w:rsid w:val="00307357"/>
    <w:rPr>
      <w:rFonts w:ascii="Cambria" w:hAnsi="Cambria"/>
      <w:b/>
      <w:bCs/>
      <w:kern w:val="2"/>
      <w:sz w:val="32"/>
      <w:szCs w:val="32"/>
    </w:rPr>
  </w:style>
  <w:style w:type="paragraph" w:customStyle="1" w:styleId="1">
    <w:name w:val="列出段落1"/>
    <w:basedOn w:val="a"/>
    <w:autoRedefine/>
    <w:qFormat/>
    <w:rsid w:val="00307357"/>
    <w:pPr>
      <w:ind w:firstLine="200"/>
    </w:pPr>
    <w:rPr>
      <w:szCs w:val="21"/>
    </w:rPr>
  </w:style>
  <w:style w:type="character" w:customStyle="1" w:styleId="Char1">
    <w:name w:val="页眉 Char"/>
    <w:basedOn w:val="a0"/>
    <w:link w:val="a5"/>
    <w:autoRedefine/>
    <w:uiPriority w:val="99"/>
    <w:semiHidden/>
    <w:qFormat/>
    <w:rsid w:val="00307357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autoRedefine/>
    <w:uiPriority w:val="99"/>
    <w:semiHidden/>
    <w:qFormat/>
    <w:rsid w:val="00307357"/>
    <w:rPr>
      <w:kern w:val="2"/>
      <w:sz w:val="18"/>
      <w:szCs w:val="18"/>
    </w:rPr>
  </w:style>
  <w:style w:type="character" w:styleId="a8">
    <w:name w:val="Placeholder Text"/>
    <w:basedOn w:val="a0"/>
    <w:autoRedefine/>
    <w:uiPriority w:val="99"/>
    <w:unhideWhenUsed/>
    <w:qFormat/>
    <w:rsid w:val="00307357"/>
    <w:rPr>
      <w:color w:val="808080"/>
    </w:rPr>
  </w:style>
  <w:style w:type="character" w:customStyle="1" w:styleId="Char">
    <w:name w:val="批注框文本 Char"/>
    <w:basedOn w:val="a0"/>
    <w:link w:val="a3"/>
    <w:autoRedefine/>
    <w:uiPriority w:val="99"/>
    <w:semiHidden/>
    <w:qFormat/>
    <w:rsid w:val="00307357"/>
    <w:rPr>
      <w:kern w:val="2"/>
      <w:sz w:val="18"/>
      <w:szCs w:val="18"/>
    </w:rPr>
  </w:style>
  <w:style w:type="paragraph" w:styleId="a9">
    <w:name w:val="List Paragraph"/>
    <w:basedOn w:val="a"/>
    <w:autoRedefine/>
    <w:uiPriority w:val="99"/>
    <w:qFormat/>
    <w:rsid w:val="0030735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223</Words>
  <Characters>1277</Characters>
  <Application>Microsoft Office Word</Application>
  <DocSecurity>0</DocSecurity>
  <Lines>10</Lines>
  <Paragraphs>2</Paragraphs>
  <ScaleCrop>false</ScaleCrop>
  <Company>Microsoft</Company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luozuobo</dc:creator>
  <cp:lastModifiedBy>admin</cp:lastModifiedBy>
  <cp:revision>2</cp:revision>
  <cp:lastPrinted>2113-01-01T00:00:00Z</cp:lastPrinted>
  <dcterms:created xsi:type="dcterms:W3CDTF">2023-02-17T07:08:00Z</dcterms:created>
  <dcterms:modified xsi:type="dcterms:W3CDTF">2026-04-15T06:04:00Z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355F389FD15E4490BE6D94636EE91EBD</vt:lpwstr>
  </property>
  <property fmtid="{D5CDD505-2E9C-101B-9397-08002B2CF9AE}" pid="3" name="KSOProductBuildVer">
    <vt:lpwstr>2052-12.1.0.25225</vt:lpwstr>
  </property>
  <property fmtid="{D5CDD505-2E9C-101B-9397-08002B2CF9AE}" pid="4" name="KSOTemplateDocerSaveRecord">
    <vt:lpwstr>eyJoZGlkIjoiNDIwNTM5MjQ4MTBjNmI4MDViZjJkMWFlYzAwNjQ5NWIiLCJ1c2VySWQiOiIxNTI2NDY3MjI3In0=</vt:lpwstr>
  </property>
</Properties>
</file>