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DEB" w:rsidRDefault="00D1290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嘉银周周盈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号开放式净值型理财产品</w:t>
      </w:r>
      <w:r>
        <w:rPr>
          <w:rFonts w:ascii="宋体" w:hAnsi="宋体"/>
          <w:b/>
          <w:sz w:val="32"/>
          <w:szCs w:val="32"/>
        </w:rPr>
        <w:t>202</w:t>
      </w:r>
      <w:r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/>
          <w:b/>
          <w:sz w:val="32"/>
          <w:szCs w:val="32"/>
        </w:rPr>
        <w:t>年第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季度报告</w:t>
      </w:r>
    </w:p>
    <w:p w:rsidR="006F3DEB" w:rsidRDefault="00D12905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产品基本情况</w:t>
      </w:r>
    </w:p>
    <w:tbl>
      <w:tblPr>
        <w:tblW w:w="8400" w:type="dxa"/>
        <w:tblInd w:w="91" w:type="dxa"/>
        <w:tblLayout w:type="fixed"/>
        <w:tblLook w:val="04A0"/>
      </w:tblPr>
      <w:tblGrid>
        <w:gridCol w:w="4305"/>
        <w:gridCol w:w="4095"/>
      </w:tblGrid>
      <w:tr w:rsidR="006F3DEB">
        <w:trPr>
          <w:trHeight w:val="378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嘉银周周盈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号开放式净值型理财产品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产品代码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ZZY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全国银行业理财信息登记系统登记编码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C1092324000061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产品运作方式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开放式净值型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报告期末产品份额总额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1,110,459,587.03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份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产品类型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固定收益类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业绩比较基准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1.20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%-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1.80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管理人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pStyle w:val="a6"/>
              <w:widowControl/>
              <w:spacing w:before="0" w:beforeAutospacing="0" w:after="0" w:afterAutospacing="0"/>
              <w:rPr>
                <w:rFonts w:ascii="宋体" w:hAnsi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嘉兴银行股份有限公司</w:t>
            </w:r>
          </w:p>
        </w:tc>
      </w:tr>
      <w:tr w:rsidR="006F3DEB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托管人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3DEB" w:rsidRDefault="00D12905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招商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银行股份有限公司</w:t>
            </w:r>
          </w:p>
        </w:tc>
      </w:tr>
    </w:tbl>
    <w:p w:rsidR="006F3DEB" w:rsidRDefault="006F3DEB">
      <w:pPr>
        <w:rPr>
          <w:rFonts w:ascii="宋体" w:hAnsi="宋体"/>
          <w:sz w:val="22"/>
        </w:rPr>
      </w:pPr>
    </w:p>
    <w:p w:rsidR="006F3DEB" w:rsidRDefault="006F3DEB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6F3DEB" w:rsidRDefault="00D12905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产品收益</w:t>
      </w:r>
      <w:r>
        <w:rPr>
          <w:rFonts w:ascii="宋体" w:hAnsi="宋体" w:hint="eastAsia"/>
          <w:b/>
          <w:bCs/>
          <w:sz w:val="30"/>
          <w:szCs w:val="30"/>
        </w:rPr>
        <w:t>/</w:t>
      </w:r>
      <w:r>
        <w:rPr>
          <w:rFonts w:ascii="宋体" w:hAnsi="宋体" w:hint="eastAsia"/>
          <w:b/>
          <w:bCs/>
          <w:sz w:val="30"/>
          <w:szCs w:val="30"/>
        </w:rPr>
        <w:t>净值表现</w:t>
      </w:r>
    </w:p>
    <w:p w:rsidR="006F3DEB" w:rsidRDefault="00D12905">
      <w:pPr>
        <w:ind w:firstLine="44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报告期末，产品净值表现如下：</w:t>
      </w:r>
    </w:p>
    <w:tbl>
      <w:tblPr>
        <w:tblW w:w="8506" w:type="dxa"/>
        <w:tblLayout w:type="fixed"/>
        <w:tblLook w:val="04A0"/>
      </w:tblPr>
      <w:tblGrid>
        <w:gridCol w:w="1801"/>
        <w:gridCol w:w="2145"/>
        <w:gridCol w:w="2145"/>
        <w:gridCol w:w="2415"/>
      </w:tblGrid>
      <w:tr w:rsidR="006F3DEB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报告时点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产品份额净值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份额累计净值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产品资产净值</w:t>
            </w:r>
          </w:p>
        </w:tc>
      </w:tr>
      <w:tr w:rsidR="006F3DEB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202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1.037841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3DEB" w:rsidRDefault="00D12905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1.037841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1,152,480,241.57</w:t>
            </w:r>
          </w:p>
        </w:tc>
      </w:tr>
    </w:tbl>
    <w:p w:rsidR="006F3DEB" w:rsidRDefault="006F3DEB">
      <w:pPr>
        <w:ind w:firstLine="440"/>
        <w:jc w:val="center"/>
        <w:rPr>
          <w:rFonts w:ascii="宋体" w:hAnsi="宋体"/>
          <w:sz w:val="22"/>
        </w:rPr>
      </w:pPr>
    </w:p>
    <w:p w:rsidR="006F3DEB" w:rsidRDefault="006F3DEB">
      <w:pPr>
        <w:ind w:firstLine="440"/>
        <w:jc w:val="center"/>
        <w:rPr>
          <w:rFonts w:ascii="宋体" w:hAnsi="宋体"/>
          <w:sz w:val="22"/>
        </w:rPr>
      </w:pPr>
    </w:p>
    <w:p w:rsidR="006F3DEB" w:rsidRDefault="00D12905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投资组合报告</w:t>
      </w:r>
    </w:p>
    <w:p w:rsidR="006F3DEB" w:rsidRDefault="00D12905">
      <w:pPr>
        <w:pStyle w:val="1"/>
        <w:ind w:firstLine="440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报告期内，</w:t>
      </w:r>
      <w:r>
        <w:rPr>
          <w:rStyle w:val="a8"/>
          <w:rFonts w:hint="eastAsia"/>
          <w:color w:val="000000" w:themeColor="text1"/>
        </w:rPr>
        <w:t>本产品未进行收益分配，</w:t>
      </w:r>
      <w:r>
        <w:rPr>
          <w:rFonts w:ascii="宋体" w:hAnsi="宋体" w:hint="eastAsia"/>
          <w:sz w:val="22"/>
          <w:szCs w:val="22"/>
        </w:rPr>
        <w:t>本产品穿透前持仓以固定收益类资管计划为主，穿透后持仓以债券类资产为主，杠杆率</w:t>
      </w:r>
      <w:r>
        <w:rPr>
          <w:rFonts w:ascii="宋体" w:hAnsi="宋体" w:hint="eastAsia"/>
          <w:sz w:val="22"/>
          <w:szCs w:val="22"/>
        </w:rPr>
        <w:t>100.0556%</w:t>
      </w:r>
      <w:r>
        <w:rPr>
          <w:rFonts w:ascii="宋体" w:hAnsi="宋体" w:hint="eastAsia"/>
          <w:sz w:val="22"/>
          <w:szCs w:val="22"/>
        </w:rPr>
        <w:t>，流动性较好，流动风险较低。</w:t>
      </w:r>
    </w:p>
    <w:p w:rsidR="006F3DEB" w:rsidRDefault="00D12905">
      <w:pPr>
        <w:pStyle w:val="2"/>
        <w:numPr>
          <w:ilvl w:val="0"/>
          <w:numId w:val="2"/>
        </w:numPr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报告期末产品资产组合情况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4125"/>
      </w:tblGrid>
      <w:tr w:rsidR="006F3DEB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资产类型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占总资产比例</w:t>
            </w:r>
          </w:p>
        </w:tc>
      </w:tr>
      <w:tr w:rsidR="006F3DEB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固定收益类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  <w:tr w:rsidR="006F3DEB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权益类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6F3DEB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商品及金融衍生品类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6F3DEB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混合类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6F3DEB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</w:tbl>
    <w:p w:rsidR="006F3DEB" w:rsidRDefault="006F3DEB">
      <w:pPr>
        <w:rPr>
          <w:rFonts w:ascii="宋体" w:hAnsi="宋体"/>
          <w:b/>
          <w:bCs/>
          <w:sz w:val="22"/>
        </w:rPr>
      </w:pPr>
    </w:p>
    <w:p w:rsidR="006F3DEB" w:rsidRDefault="006F3DEB">
      <w:pPr>
        <w:rPr>
          <w:rFonts w:ascii="宋体" w:hAnsi="宋体"/>
          <w:b/>
          <w:bCs/>
          <w:sz w:val="22"/>
        </w:rPr>
      </w:pPr>
    </w:p>
    <w:p w:rsidR="006F3DEB" w:rsidRDefault="00D12905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lastRenderedPageBreak/>
        <w:t>2.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穿透前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1653"/>
        <w:gridCol w:w="2682"/>
        <w:gridCol w:w="2190"/>
        <w:gridCol w:w="1350"/>
      </w:tblGrid>
      <w:tr w:rsidR="006F3DEB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6F3DEB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资管产品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民生通惠周周盈资产管理产品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770,851,352.60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66.85%</w:t>
            </w:r>
          </w:p>
        </w:tc>
      </w:tr>
      <w:tr w:rsidR="006F3DEB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信托计划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中粮信托·福临嘉盈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号集合资金信托计划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185,103,134.82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16.05%</w:t>
            </w:r>
          </w:p>
        </w:tc>
      </w:tr>
      <w:tr w:rsidR="006F3DEB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信托计划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华鑫信托·鸿运高照</w:t>
            </w:r>
            <w:r>
              <w:rPr>
                <w:rFonts w:ascii="宋体" w:hAnsi="宋体" w:cs="宋体" w:hint="eastAsia"/>
                <w:color w:val="00000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sz w:val="22"/>
              </w:rPr>
              <w:t>号集合资金信托计划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111,250,885.13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9.65%</w:t>
            </w:r>
          </w:p>
        </w:tc>
      </w:tr>
      <w:tr w:rsidR="006F3DEB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政策性</w:t>
            </w:r>
            <w:r>
              <w:rPr>
                <w:rFonts w:ascii="宋体" w:hAnsi="宋体" w:cs="宋体"/>
                <w:color w:val="000000"/>
                <w:sz w:val="22"/>
              </w:rPr>
              <w:t>金融债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农发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50,602,424.66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4.39%</w:t>
            </w:r>
          </w:p>
        </w:tc>
      </w:tr>
      <w:tr w:rsidR="006F3DEB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政策性</w:t>
            </w:r>
            <w:r>
              <w:rPr>
                <w:rFonts w:ascii="宋体" w:hAnsi="宋体" w:cs="宋体"/>
                <w:color w:val="000000"/>
                <w:sz w:val="22"/>
              </w:rPr>
              <w:t>金融债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国开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20,181,024.66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1.75%</w:t>
            </w:r>
          </w:p>
        </w:tc>
      </w:tr>
    </w:tbl>
    <w:p w:rsidR="006F3DEB" w:rsidRDefault="00D12905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bookmarkStart w:id="0" w:name="_GoBack"/>
      <w:bookmarkEnd w:id="0"/>
      <w:r>
        <w:rPr>
          <w:rFonts w:ascii="宋体" w:hAnsi="宋体" w:hint="eastAsia"/>
          <w:b w:val="0"/>
          <w:bCs w:val="0"/>
          <w:sz w:val="22"/>
          <w:szCs w:val="22"/>
        </w:rPr>
        <w:t>3</w:t>
      </w:r>
      <w:r>
        <w:rPr>
          <w:rFonts w:ascii="宋体" w:hAnsi="宋体" w:hint="eastAsia"/>
          <w:b w:val="0"/>
          <w:bCs w:val="0"/>
          <w:sz w:val="22"/>
          <w:szCs w:val="22"/>
        </w:rPr>
        <w:t>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穿透后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578"/>
        <w:gridCol w:w="2727"/>
        <w:gridCol w:w="2250"/>
        <w:gridCol w:w="1335"/>
      </w:tblGrid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政策性</w:t>
            </w:r>
            <w:r>
              <w:rPr>
                <w:rFonts w:ascii="宋体" w:hAnsi="宋体" w:cs="宋体"/>
                <w:color w:val="000000"/>
                <w:sz w:val="22"/>
              </w:rPr>
              <w:t>金融债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农发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50,602,424.66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4.38%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浦发银行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CD312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23,120,340.38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2.00%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23,020,452.26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1.99%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23,019,504.76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1.99%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23,007,144.93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1.99%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浔新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21,991,915.28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1.91%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虞山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21,870,691.45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1.89%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金融债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国开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20,181,024.66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1.75%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吴城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18,272,136.88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1.58%</w:t>
            </w:r>
          </w:p>
        </w:tc>
      </w:tr>
      <w:tr w:rsidR="006F3DEB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安交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13,565,622.58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F3DEB" w:rsidRDefault="00D12905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1.18%</w:t>
            </w:r>
          </w:p>
        </w:tc>
      </w:tr>
    </w:tbl>
    <w:p w:rsidR="006F3DEB" w:rsidRDefault="006F3DEB"/>
    <w:p w:rsidR="006F3DEB" w:rsidRDefault="006F3DEB">
      <w:pPr>
        <w:pStyle w:val="1"/>
        <w:ind w:firstLine="0"/>
        <w:jc w:val="left"/>
        <w:rPr>
          <w:rFonts w:ascii="宋体" w:hAnsi="宋体"/>
          <w:b/>
          <w:bCs/>
          <w:sz w:val="22"/>
        </w:rPr>
      </w:pPr>
    </w:p>
    <w:p w:rsidR="006F3DEB" w:rsidRDefault="006F3DEB">
      <w:pPr>
        <w:pStyle w:val="1"/>
        <w:ind w:firstLine="0"/>
        <w:jc w:val="left"/>
        <w:rPr>
          <w:rFonts w:ascii="宋体" w:hAnsi="宋体"/>
          <w:b/>
          <w:bCs/>
          <w:sz w:val="22"/>
          <w:szCs w:val="22"/>
        </w:rPr>
      </w:pPr>
    </w:p>
    <w:p w:rsidR="006F3DEB" w:rsidRDefault="00D12905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投资账户信息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9"/>
        <w:gridCol w:w="4107"/>
      </w:tblGrid>
      <w:tr w:rsidR="006F3DEB">
        <w:tc>
          <w:tcPr>
            <w:tcW w:w="2602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交易场所</w:t>
            </w:r>
          </w:p>
        </w:tc>
        <w:tc>
          <w:tcPr>
            <w:tcW w:w="2397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账号</w:t>
            </w:r>
          </w:p>
        </w:tc>
      </w:tr>
      <w:tr w:rsidR="006F3DEB">
        <w:tc>
          <w:tcPr>
            <w:tcW w:w="2602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银行间市场清算所账号</w:t>
            </w:r>
          </w:p>
        </w:tc>
        <w:tc>
          <w:tcPr>
            <w:tcW w:w="2397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B2449721</w:t>
            </w:r>
          </w:p>
        </w:tc>
      </w:tr>
      <w:tr w:rsidR="006F3DEB">
        <w:tc>
          <w:tcPr>
            <w:tcW w:w="2602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中央结算公司账号</w:t>
            </w:r>
          </w:p>
        </w:tc>
        <w:tc>
          <w:tcPr>
            <w:tcW w:w="2397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00000058095</w:t>
            </w:r>
          </w:p>
        </w:tc>
      </w:tr>
      <w:tr w:rsidR="006F3DEB">
        <w:tc>
          <w:tcPr>
            <w:tcW w:w="2602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上海证券交易所账号</w:t>
            </w:r>
          </w:p>
        </w:tc>
        <w:tc>
          <w:tcPr>
            <w:tcW w:w="2397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B886644479</w:t>
            </w:r>
          </w:p>
        </w:tc>
      </w:tr>
      <w:tr w:rsidR="006F3DEB">
        <w:tc>
          <w:tcPr>
            <w:tcW w:w="2602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深圳证券交易所账号</w:t>
            </w:r>
          </w:p>
        </w:tc>
        <w:tc>
          <w:tcPr>
            <w:tcW w:w="2397" w:type="pct"/>
          </w:tcPr>
          <w:p w:rsidR="006F3DEB" w:rsidRDefault="00D12905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0899438815</w:t>
            </w:r>
          </w:p>
        </w:tc>
      </w:tr>
    </w:tbl>
    <w:p w:rsidR="006F3DEB" w:rsidRDefault="00D12905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注：理财产品托管人</w:t>
      </w:r>
      <w:r>
        <w:rPr>
          <w:rFonts w:ascii="宋体" w:hAnsi="宋体" w:hint="eastAsia"/>
          <w:sz w:val="18"/>
          <w:szCs w:val="18"/>
        </w:rPr>
        <w:t>招商</w:t>
      </w:r>
      <w:r>
        <w:rPr>
          <w:rFonts w:ascii="宋体" w:hAnsi="宋体" w:hint="eastAsia"/>
          <w:sz w:val="18"/>
          <w:szCs w:val="18"/>
        </w:rPr>
        <w:t>银行股份有限公司根据托管协议规定，复核了本报告中的财务指标、净值表现和资产组合报告等内容，保证复核内容不存在虚假记载、误导性陈述。</w:t>
      </w:r>
    </w:p>
    <w:p w:rsidR="006F3DEB" w:rsidRDefault="006F3DEB">
      <w:pPr>
        <w:jc w:val="center"/>
        <w:rPr>
          <w:rFonts w:ascii="宋体" w:hAnsi="宋体"/>
          <w:sz w:val="18"/>
          <w:szCs w:val="18"/>
        </w:rPr>
      </w:pPr>
    </w:p>
    <w:p w:rsidR="006F3DEB" w:rsidRDefault="006F3DEB">
      <w:pPr>
        <w:rPr>
          <w:rFonts w:ascii="宋体" w:hAnsi="宋体"/>
          <w:sz w:val="30"/>
          <w:szCs w:val="30"/>
        </w:rPr>
      </w:pPr>
    </w:p>
    <w:p w:rsidR="006F3DEB" w:rsidRDefault="00D12905">
      <w:pPr>
        <w:jc w:val="center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                                               </w:t>
      </w:r>
      <w:r>
        <w:rPr>
          <w:rFonts w:ascii="宋体" w:hAnsi="宋体" w:hint="eastAsia"/>
          <w:sz w:val="22"/>
        </w:rPr>
        <w:t>嘉兴银行股份有限公司</w:t>
      </w:r>
    </w:p>
    <w:p w:rsidR="006F3DEB" w:rsidRDefault="00D12905">
      <w:pPr>
        <w:jc w:val="center"/>
        <w:rPr>
          <w:szCs w:val="21"/>
        </w:rPr>
      </w:pPr>
      <w:r>
        <w:rPr>
          <w:rFonts w:ascii="宋体" w:hAnsi="宋体"/>
          <w:sz w:val="22"/>
        </w:rPr>
        <w:t>202</w:t>
      </w:r>
      <w:r>
        <w:rPr>
          <w:rFonts w:ascii="宋体" w:hAnsi="宋体" w:hint="eastAsia"/>
          <w:sz w:val="22"/>
        </w:rPr>
        <w:t>6</w:t>
      </w:r>
      <w:r>
        <w:rPr>
          <w:rFonts w:ascii="宋体" w:hAnsi="宋体"/>
          <w:sz w:val="22"/>
        </w:rPr>
        <w:t>年</w:t>
      </w:r>
      <w:r>
        <w:rPr>
          <w:rFonts w:ascii="宋体" w:hAnsi="宋体" w:hint="eastAsia"/>
          <w:sz w:val="22"/>
        </w:rPr>
        <w:t>4</w:t>
      </w:r>
      <w:r>
        <w:rPr>
          <w:rFonts w:ascii="宋体" w:hAnsi="宋体"/>
          <w:sz w:val="22"/>
        </w:rPr>
        <w:t>月</w:t>
      </w:r>
      <w:r w:rsidR="00E55BA5">
        <w:rPr>
          <w:rFonts w:ascii="宋体" w:hAnsi="宋体" w:hint="eastAsia"/>
          <w:sz w:val="22"/>
        </w:rPr>
        <w:t>10</w:t>
      </w:r>
      <w:r>
        <w:rPr>
          <w:rFonts w:ascii="宋体" w:hAnsi="宋体"/>
          <w:sz w:val="22"/>
        </w:rPr>
        <w:t>日</w:t>
      </w:r>
    </w:p>
    <w:p w:rsidR="006F3DEB" w:rsidRDefault="006F3DEB">
      <w:pPr>
        <w:jc w:val="center"/>
        <w:rPr>
          <w:b/>
        </w:rPr>
      </w:pPr>
    </w:p>
    <w:sectPr w:rsidR="006F3DEB" w:rsidSect="006F3DE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905" w:rsidRDefault="00D12905" w:rsidP="00E55BA5">
      <w:r>
        <w:separator/>
      </w:r>
    </w:p>
  </w:endnote>
  <w:endnote w:type="continuationSeparator" w:id="1">
    <w:p w:rsidR="00D12905" w:rsidRDefault="00D12905" w:rsidP="00E55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905" w:rsidRDefault="00D12905" w:rsidP="00E55BA5">
      <w:r>
        <w:separator/>
      </w:r>
    </w:p>
  </w:footnote>
  <w:footnote w:type="continuationSeparator" w:id="1">
    <w:p w:rsidR="00D12905" w:rsidRDefault="00D12905" w:rsidP="00E55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B2465"/>
    <w:multiLevelType w:val="multilevel"/>
    <w:tmpl w:val="596B246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1B07D7"/>
    <w:multiLevelType w:val="multilevel"/>
    <w:tmpl w:val="741B07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VerticalSpacing w:val="156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doNotWrapTextWithPunct/>
    <w:doNotUseEastAsianBreakRules/>
    <w:useFELayout/>
    <w:doNotUseIndentAsNumberingTabStop/>
    <w:useAltKinsokuLineBreakRules/>
  </w:compat>
  <w:docVars>
    <w:docVar w:name="commondata" w:val="eyJoZGlkIjoiZGQ4ZjkwYWNlZmE1OTAyZGY3ODg4ZTc0ODNjYjA1ZGUifQ=="/>
  </w:docVars>
  <w:rsids>
    <w:rsidRoot w:val="006F3DEB"/>
    <w:rsid w:val="006F3DEB"/>
    <w:rsid w:val="00D12905"/>
    <w:rsid w:val="00E55BA5"/>
    <w:rsid w:val="013A7B3E"/>
    <w:rsid w:val="024D1CEC"/>
    <w:rsid w:val="05422F5F"/>
    <w:rsid w:val="05D35C95"/>
    <w:rsid w:val="06971A0B"/>
    <w:rsid w:val="07C744BD"/>
    <w:rsid w:val="082854F3"/>
    <w:rsid w:val="09BA64EC"/>
    <w:rsid w:val="0B0F2CEE"/>
    <w:rsid w:val="0C1C24B5"/>
    <w:rsid w:val="0C72611A"/>
    <w:rsid w:val="0E4137B5"/>
    <w:rsid w:val="11653F6A"/>
    <w:rsid w:val="160B4128"/>
    <w:rsid w:val="160C6457"/>
    <w:rsid w:val="18885F41"/>
    <w:rsid w:val="1A805517"/>
    <w:rsid w:val="1D2D4F6F"/>
    <w:rsid w:val="1DA660A2"/>
    <w:rsid w:val="1EE9607A"/>
    <w:rsid w:val="20F10F57"/>
    <w:rsid w:val="21B84410"/>
    <w:rsid w:val="229138A9"/>
    <w:rsid w:val="261873AD"/>
    <w:rsid w:val="26B41F70"/>
    <w:rsid w:val="27B8643F"/>
    <w:rsid w:val="28E97D31"/>
    <w:rsid w:val="2A4915D0"/>
    <w:rsid w:val="2CFB664E"/>
    <w:rsid w:val="31415A44"/>
    <w:rsid w:val="31D26DBA"/>
    <w:rsid w:val="3335354B"/>
    <w:rsid w:val="337E5E64"/>
    <w:rsid w:val="348F0812"/>
    <w:rsid w:val="350445D1"/>
    <w:rsid w:val="39B12CEE"/>
    <w:rsid w:val="3D0E2CF1"/>
    <w:rsid w:val="3D4A5851"/>
    <w:rsid w:val="3E773871"/>
    <w:rsid w:val="3EB6242B"/>
    <w:rsid w:val="41DD7387"/>
    <w:rsid w:val="45223B1E"/>
    <w:rsid w:val="478B0ADD"/>
    <w:rsid w:val="49F8421A"/>
    <w:rsid w:val="4BBF66E7"/>
    <w:rsid w:val="553C2B3F"/>
    <w:rsid w:val="55B62D16"/>
    <w:rsid w:val="592B2A6C"/>
    <w:rsid w:val="5B937C81"/>
    <w:rsid w:val="608F6852"/>
    <w:rsid w:val="60B92AA1"/>
    <w:rsid w:val="60EA51F0"/>
    <w:rsid w:val="66157FDD"/>
    <w:rsid w:val="6A213D55"/>
    <w:rsid w:val="6A6E6EB4"/>
    <w:rsid w:val="6AAE05A8"/>
    <w:rsid w:val="6B4377D2"/>
    <w:rsid w:val="6B8A1C13"/>
    <w:rsid w:val="70E832F7"/>
    <w:rsid w:val="7370462E"/>
    <w:rsid w:val="74573C49"/>
    <w:rsid w:val="749A5B69"/>
    <w:rsid w:val="757D75B0"/>
    <w:rsid w:val="767060BA"/>
    <w:rsid w:val="77B24C3B"/>
    <w:rsid w:val="77F93D20"/>
    <w:rsid w:val="79901625"/>
    <w:rsid w:val="7AEB244B"/>
    <w:rsid w:val="7E035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EB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autoRedefine/>
    <w:uiPriority w:val="99"/>
    <w:qFormat/>
    <w:rsid w:val="006F3DEB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6F3D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F3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semiHidden/>
    <w:unhideWhenUsed/>
    <w:qFormat/>
    <w:rsid w:val="006F3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rsid w:val="006F3DEB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uiPriority w:val="59"/>
    <w:qFormat/>
    <w:rsid w:val="006F3D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autoRedefine/>
    <w:uiPriority w:val="99"/>
    <w:qFormat/>
    <w:rsid w:val="006F3DEB"/>
    <w:rPr>
      <w:rFonts w:ascii="Cambria" w:hAnsi="Cambria"/>
      <w:b/>
      <w:bCs/>
      <w:kern w:val="2"/>
      <w:sz w:val="32"/>
      <w:szCs w:val="32"/>
    </w:rPr>
  </w:style>
  <w:style w:type="paragraph" w:customStyle="1" w:styleId="1">
    <w:name w:val="列出段落1"/>
    <w:basedOn w:val="a"/>
    <w:autoRedefine/>
    <w:qFormat/>
    <w:rsid w:val="006F3DEB"/>
    <w:pPr>
      <w:ind w:firstLine="200"/>
    </w:pPr>
    <w:rPr>
      <w:szCs w:val="21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6F3DE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6F3DEB"/>
    <w:rPr>
      <w:kern w:val="2"/>
      <w:sz w:val="18"/>
      <w:szCs w:val="18"/>
    </w:rPr>
  </w:style>
  <w:style w:type="character" w:styleId="a8">
    <w:name w:val="Placeholder Text"/>
    <w:basedOn w:val="a0"/>
    <w:autoRedefine/>
    <w:uiPriority w:val="99"/>
    <w:unhideWhenUsed/>
    <w:qFormat/>
    <w:rsid w:val="006F3DEB"/>
    <w:rPr>
      <w:color w:val="808080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6F3DEB"/>
    <w:rPr>
      <w:kern w:val="2"/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6F3D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luozuobo</dc:creator>
  <cp:lastModifiedBy>admin</cp:lastModifiedBy>
  <cp:revision>2</cp:revision>
  <cp:lastPrinted>2113-01-01T00:00:00Z</cp:lastPrinted>
  <dcterms:created xsi:type="dcterms:W3CDTF">2023-02-17T07:08:00Z</dcterms:created>
  <dcterms:modified xsi:type="dcterms:W3CDTF">2026-04-15T06:05:00Z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355F389FD15E4490BE6D94636EE91EBD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eyJoZGlkIjoiNDIwNTM5MjQ4MTBjNmI4MDViZjJkMWFlYzAwNjQ5NWIiLCJ1c2VySWQiOiIxNTI2NDY3MjI3In0=</vt:lpwstr>
  </property>
</Properties>
</file>