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240" w:lineRule="atLeast"/>
        <w:ind w:left="0" w:firstLine="281" w:firstLineChars="100"/>
        <w:jc w:val="center"/>
        <w:rPr>
          <w:rFonts w:hint="eastAsia" w:ascii="宋体" w:hAnsi="宋体" w:eastAsia="宋体"/>
          <w:b/>
          <w:color w:val="auto"/>
          <w:sz w:val="28"/>
          <w:szCs w:val="28"/>
        </w:rPr>
      </w:pPr>
      <w:r>
        <w:rPr>
          <w:rFonts w:hint="eastAsia" w:ascii="宋体" w:hAnsi="宋体" w:eastAsia="宋体" w:cs="Times New Roman"/>
          <w:b/>
          <w:i w:val="0"/>
          <w:iCs w:val="0"/>
          <w:caps w:val="0"/>
          <w:color w:val="auto"/>
          <w:spacing w:val="0"/>
          <w:sz w:val="28"/>
          <w:szCs w:val="28"/>
          <w:shd w:val="clear"/>
          <w:lang w:val="en-US" w:eastAsia="zh-CN"/>
        </w:rPr>
        <w:t>关于“</w:t>
      </w:r>
      <w:r>
        <w:rPr>
          <w:rFonts w:hint="eastAsia" w:ascii="宋体" w:hAnsi="宋体" w:eastAsia="宋体" w:cs="Times New Roman"/>
          <w:b/>
          <w:i w:val="0"/>
          <w:iCs w:val="0"/>
          <w:caps w:val="0"/>
          <w:color w:val="auto"/>
          <w:spacing w:val="0"/>
          <w:sz w:val="28"/>
          <w:szCs w:val="28"/>
          <w:shd w:val="clear"/>
        </w:rPr>
        <w:t>北银理财京华远见春系列诚享</w:t>
      </w:r>
      <w:r>
        <w:rPr>
          <w:rFonts w:hint="eastAsia" w:ascii="宋体" w:hAnsi="宋体" w:cs="Times New Roman"/>
          <w:b/>
          <w:i w:val="0"/>
          <w:iCs w:val="0"/>
          <w:caps w:val="0"/>
          <w:color w:val="auto"/>
          <w:spacing w:val="0"/>
          <w:sz w:val="28"/>
          <w:szCs w:val="28"/>
          <w:shd w:val="clear"/>
          <w:lang w:val="en-US" w:eastAsia="zh-CN"/>
        </w:rPr>
        <w:t>100</w:t>
      </w:r>
      <w:r>
        <w:rPr>
          <w:rFonts w:hint="eastAsia" w:ascii="宋体" w:hAnsi="宋体" w:eastAsia="宋体" w:cs="Times New Roman"/>
          <w:b/>
          <w:i w:val="0"/>
          <w:iCs w:val="0"/>
          <w:caps w:val="0"/>
          <w:color w:val="auto"/>
          <w:spacing w:val="0"/>
          <w:sz w:val="28"/>
          <w:szCs w:val="28"/>
          <w:shd w:val="clear"/>
        </w:rPr>
        <w:t>天持有期理财</w:t>
      </w:r>
      <w:r>
        <w:rPr>
          <w:rFonts w:hint="eastAsia" w:ascii="宋体" w:hAnsi="宋体" w:cs="Times New Roman"/>
          <w:b/>
          <w:i w:val="0"/>
          <w:iCs w:val="0"/>
          <w:caps w:val="0"/>
          <w:color w:val="auto"/>
          <w:spacing w:val="0"/>
          <w:sz w:val="28"/>
          <w:szCs w:val="28"/>
          <w:shd w:val="clear"/>
          <w:lang w:val="en-US" w:eastAsia="zh-CN"/>
        </w:rPr>
        <w:t>管理计划</w:t>
      </w:r>
      <w:r>
        <w:rPr>
          <w:rFonts w:hint="eastAsia" w:ascii="宋体" w:hAnsi="宋体" w:eastAsia="宋体" w:cs="Times New Roman"/>
          <w:b/>
          <w:i w:val="0"/>
          <w:iCs w:val="0"/>
          <w:caps w:val="0"/>
          <w:color w:val="auto"/>
          <w:spacing w:val="0"/>
          <w:sz w:val="28"/>
          <w:szCs w:val="28"/>
          <w:shd w:val="clear"/>
          <w:lang w:eastAsia="zh-CN"/>
        </w:rPr>
        <w:t>”</w:t>
      </w:r>
      <w:r>
        <w:rPr>
          <w:rFonts w:hint="eastAsia" w:ascii="宋体" w:hAnsi="宋体" w:cs="Times New Roman"/>
          <w:b/>
          <w:i w:val="0"/>
          <w:iCs w:val="0"/>
          <w:caps w:val="0"/>
          <w:color w:val="auto"/>
          <w:spacing w:val="0"/>
          <w:sz w:val="28"/>
          <w:szCs w:val="28"/>
          <w:shd w:val="clear"/>
          <w:lang w:val="en-US" w:eastAsia="zh-CN"/>
        </w:rPr>
        <w:t>销售文件</w:t>
      </w:r>
      <w:r>
        <w:rPr>
          <w:rFonts w:hint="eastAsia" w:ascii="宋体" w:hAnsi="宋体" w:eastAsia="宋体"/>
          <w:b/>
          <w:color w:val="auto"/>
          <w:sz w:val="28"/>
          <w:szCs w:val="28"/>
          <w:lang w:val="en-US" w:eastAsia="zh-CN"/>
        </w:rPr>
        <w:t>的调整</w:t>
      </w:r>
      <w:r>
        <w:rPr>
          <w:rFonts w:hint="eastAsia" w:ascii="宋体" w:hAnsi="宋体" w:eastAsia="宋体"/>
          <w:b/>
          <w:color w:val="auto"/>
          <w:sz w:val="28"/>
          <w:szCs w:val="28"/>
        </w:rPr>
        <w:t>公告</w:t>
      </w:r>
    </w:p>
    <w:p>
      <w:pPr>
        <w:spacing w:line="360" w:lineRule="auto"/>
        <w:ind w:firstLine="480"/>
        <w:rPr>
          <w:rFonts w:hint="eastAsia" w:ascii="宋体" w:hAnsi="宋体"/>
          <w:b/>
          <w:bCs/>
          <w:sz w:val="24"/>
        </w:rPr>
      </w:pPr>
    </w:p>
    <w:p>
      <w:pPr>
        <w:spacing w:line="360" w:lineRule="auto"/>
        <w:ind w:firstLine="480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尊敬的投资者：</w:t>
      </w:r>
    </w:p>
    <w:p>
      <w:pPr>
        <w:spacing w:line="360" w:lineRule="auto"/>
        <w:ind w:firstLine="48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 w:eastAsia="宋体" w:cs="Times New Roman"/>
          <w:b w:val="0"/>
          <w:i w:val="0"/>
          <w:iCs w:val="0"/>
          <w:caps w:val="0"/>
          <w:color w:val="auto"/>
          <w:spacing w:val="0"/>
          <w:sz w:val="24"/>
          <w:szCs w:val="24"/>
          <w:shd w:val="clear"/>
        </w:rPr>
        <w:t>北银理财京华远见春系列诚享</w:t>
      </w:r>
      <w:r>
        <w:rPr>
          <w:rFonts w:hint="eastAsia" w:ascii="宋体" w:hAnsi="宋体" w:cs="Times New Roman"/>
          <w:b w:val="0"/>
          <w:i w:val="0"/>
          <w:iCs w:val="0"/>
          <w:caps w:val="0"/>
          <w:color w:val="auto"/>
          <w:spacing w:val="0"/>
          <w:sz w:val="24"/>
          <w:szCs w:val="24"/>
          <w:shd w:val="clear"/>
          <w:lang w:val="en-US" w:eastAsia="zh-CN"/>
        </w:rPr>
        <w:t>100</w:t>
      </w:r>
      <w:r>
        <w:rPr>
          <w:rFonts w:hint="eastAsia" w:ascii="宋体" w:hAnsi="宋体" w:eastAsia="宋体" w:cs="Times New Roman"/>
          <w:b w:val="0"/>
          <w:i w:val="0"/>
          <w:iCs w:val="0"/>
          <w:caps w:val="0"/>
          <w:color w:val="auto"/>
          <w:spacing w:val="0"/>
          <w:sz w:val="24"/>
          <w:szCs w:val="24"/>
          <w:shd w:val="clear"/>
        </w:rPr>
        <w:t>天持有期理财</w:t>
      </w:r>
      <w:r>
        <w:rPr>
          <w:rFonts w:hint="eastAsia" w:ascii="宋体" w:hAnsi="宋体" w:cs="Times New Roman"/>
          <w:b w:val="0"/>
          <w:i w:val="0"/>
          <w:iCs w:val="0"/>
          <w:caps w:val="0"/>
          <w:color w:val="auto"/>
          <w:spacing w:val="0"/>
          <w:sz w:val="24"/>
          <w:szCs w:val="24"/>
          <w:shd w:val="clear"/>
          <w:lang w:val="en-US" w:eastAsia="zh-CN"/>
        </w:rPr>
        <w:t>管理计划</w:t>
      </w:r>
      <w:r>
        <w:rPr>
          <w:rFonts w:hint="eastAsia" w:ascii="宋体" w:hAnsi="宋体" w:cs="Times New Roman"/>
          <w:i w:val="0"/>
          <w:iCs w:val="0"/>
          <w:caps w:val="0"/>
          <w:spacing w:val="0"/>
          <w:sz w:val="24"/>
          <w:szCs w:val="24"/>
          <w:shd w:val="clear"/>
          <w:lang w:eastAsia="zh-CN"/>
        </w:rPr>
        <w:t>，</w:t>
      </w:r>
      <w:r>
        <w:rPr>
          <w:rFonts w:hint="eastAsia" w:ascii="宋体" w:hAnsi="宋体"/>
          <w:sz w:val="24"/>
          <w:lang w:val="en-US" w:eastAsia="zh-CN"/>
        </w:rPr>
        <w:t>以下简称“本产品”</w:t>
      </w:r>
      <w:r>
        <w:rPr>
          <w:rFonts w:hint="eastAsia" w:ascii="宋体" w:hAnsi="宋体"/>
          <w:sz w:val="24"/>
          <w:lang w:eastAsia="zh-CN"/>
        </w:rPr>
        <w:t>（产品代码：</w:t>
      </w:r>
      <w:r>
        <w:rPr>
          <w:rFonts w:hint="eastAsia" w:ascii="宋体" w:hAnsi="宋体" w:cs="Times New Roman"/>
          <w:i w:val="0"/>
          <w:iCs w:val="0"/>
          <w:caps w:val="0"/>
          <w:spacing w:val="0"/>
          <w:sz w:val="24"/>
          <w:szCs w:val="24"/>
          <w:shd w:val="clear"/>
          <w:lang w:val="en-US" w:eastAsia="zh-CN"/>
        </w:rPr>
        <w:t>TG01230604</w:t>
      </w:r>
      <w:r>
        <w:rPr>
          <w:rFonts w:hint="eastAsia" w:ascii="宋体" w:hAnsi="宋体" w:eastAsia="宋体"/>
          <w:sz w:val="24"/>
          <w:lang w:val="en-US" w:eastAsia="zh-CN"/>
        </w:rPr>
        <w:t>；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产品登记编码：</w:t>
      </w:r>
      <w:r>
        <w:rPr>
          <w:rFonts w:hint="eastAsia" w:ascii="宋体" w:hAnsi="宋体" w:eastAsia="宋体"/>
          <w:color w:val="auto"/>
          <w:sz w:val="24"/>
          <w:lang w:eastAsia="zh-CN"/>
        </w:rPr>
        <w:t>Z7008923000087</w:t>
      </w:r>
      <w:r>
        <w:rPr>
          <w:rFonts w:hint="eastAsia" w:ascii="宋体" w:hAnsi="宋体"/>
          <w:sz w:val="24"/>
          <w:lang w:eastAsia="zh-CN"/>
        </w:rPr>
        <w:t>，于</w:t>
      </w:r>
      <w:r>
        <w:rPr>
          <w:rFonts w:hint="eastAsia" w:ascii="宋体" w:hAnsi="宋体" w:eastAsia="宋体"/>
          <w:color w:val="auto"/>
          <w:sz w:val="24"/>
        </w:rPr>
        <w:t>202</w:t>
      </w:r>
      <w:r>
        <w:rPr>
          <w:rFonts w:hint="eastAsia" w:ascii="宋体" w:hAnsi="宋体"/>
          <w:color w:val="auto"/>
          <w:sz w:val="24"/>
          <w:lang w:val="en-US" w:eastAsia="zh-CN"/>
        </w:rPr>
        <w:t>3</w:t>
      </w:r>
      <w:r>
        <w:rPr>
          <w:rFonts w:hint="eastAsia" w:ascii="宋体" w:hAnsi="宋体" w:eastAsia="宋体"/>
          <w:color w:val="auto"/>
          <w:sz w:val="24"/>
        </w:rPr>
        <w:t>年</w:t>
      </w:r>
      <w:r>
        <w:rPr>
          <w:rFonts w:hint="eastAsia" w:ascii="宋体" w:hAnsi="宋体"/>
          <w:color w:val="auto"/>
          <w:sz w:val="24"/>
          <w:lang w:val="en-US" w:eastAsia="zh-CN"/>
        </w:rPr>
        <w:t>8</w:t>
      </w:r>
      <w:r>
        <w:rPr>
          <w:rFonts w:hint="eastAsia" w:ascii="宋体" w:hAnsi="宋体" w:eastAsia="宋体"/>
          <w:color w:val="auto"/>
          <w:sz w:val="24"/>
        </w:rPr>
        <w:t>月</w:t>
      </w:r>
      <w:r>
        <w:rPr>
          <w:rFonts w:hint="eastAsia" w:ascii="宋体" w:hAnsi="宋体"/>
          <w:color w:val="auto"/>
          <w:sz w:val="24"/>
          <w:lang w:val="en-US" w:eastAsia="zh-CN"/>
        </w:rPr>
        <w:t>30</w:t>
      </w:r>
      <w:r>
        <w:rPr>
          <w:rFonts w:hint="eastAsia" w:ascii="宋体" w:hAnsi="宋体" w:eastAsia="宋体"/>
          <w:color w:val="auto"/>
          <w:sz w:val="24"/>
        </w:rPr>
        <w:t>日</w:t>
      </w:r>
      <w:r>
        <w:rPr>
          <w:rFonts w:hint="eastAsia" w:ascii="宋体" w:hAnsi="宋体"/>
          <w:sz w:val="24"/>
          <w:lang w:eastAsia="zh-CN"/>
        </w:rPr>
        <w:t>成立。</w:t>
      </w:r>
    </w:p>
    <w:p>
      <w:pPr>
        <w:spacing w:line="360" w:lineRule="auto"/>
        <w:ind w:firstLine="480" w:firstLineChars="0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一、鉴于业绩比较基准有助于反映理财产品的风险收益特征，为了向投资者及时、准确、完整地进行披露，保障投资者的知情权，增强投资者对产品性质和特点的判断。我司根据市场研判、投资策略及产品运作等情况，根据本</w:t>
      </w:r>
      <w:r>
        <w:rPr>
          <w:rFonts w:hint="eastAsia" w:ascii="宋体" w:hAnsi="宋体" w:cs="Times New Roman"/>
          <w:sz w:val="24"/>
          <w:szCs w:val="24"/>
          <w:lang w:val="en-US" w:eastAsia="zh-CN"/>
        </w:rPr>
        <w:t>产品销售文件中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“三、产品概况和基本要素”中“业绩比较基准”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的相关约定，管理人将于202</w:t>
      </w:r>
      <w:r>
        <w:rPr>
          <w:rFonts w:hint="eastAsia" w:ascii="宋体" w:hAnsi="宋体" w:cs="Times New Roman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年</w:t>
      </w:r>
      <w:r>
        <w:rPr>
          <w:rFonts w:hint="eastAsia" w:ascii="宋体" w:hAnsi="宋体" w:cs="Times New Roman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月</w:t>
      </w:r>
      <w:r>
        <w:rPr>
          <w:rFonts w:hint="eastAsia" w:ascii="宋体" w:hAnsi="宋体" w:cs="Times New Roman"/>
          <w:sz w:val="24"/>
          <w:szCs w:val="24"/>
          <w:lang w:val="en-US" w:eastAsia="zh-CN"/>
        </w:rPr>
        <w:t>25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日（含）起将本产品业绩比较基准调整为</w:t>
      </w:r>
      <w:r>
        <w:rPr>
          <w:rFonts w:hint="eastAsia" w:ascii="宋体" w:hAnsi="宋体" w:cs="Times New Roman"/>
          <w:sz w:val="24"/>
          <w:szCs w:val="24"/>
          <w:lang w:val="en-US" w:eastAsia="zh-CN"/>
        </w:rPr>
        <w:t>：</w:t>
      </w:r>
      <w:r>
        <w:rPr>
          <w:rFonts w:hint="eastAsia" w:ascii="宋体" w:hAnsi="宋体" w:eastAsia="宋体" w:cs="Times New Roman"/>
          <w:color w:val="auto"/>
          <w:kern w:val="2"/>
          <w:sz w:val="24"/>
          <w:szCs w:val="24"/>
        </w:rPr>
        <w:t>中债-综合全价（1年以下）指数（CBA00213.CS）收益率*70%+中债-综合全价（1-3年）指数（CBA00223.CS）收益率*10%+北京银行定期存款利率（整存整取）1年*20%</w:t>
      </w:r>
      <w:r>
        <w:rPr>
          <w:rFonts w:hint="eastAsia" w:ascii="宋体" w:hAnsi="宋体" w:cs="Times New Roman"/>
          <w:sz w:val="24"/>
          <w:szCs w:val="24"/>
          <w:lang w:val="en-US" w:eastAsia="zh-CN"/>
        </w:rPr>
        <w:t>。</w:t>
      </w:r>
    </w:p>
    <w:p>
      <w:pPr>
        <w:spacing w:line="360" w:lineRule="auto"/>
        <w:ind w:firstLine="480" w:firstLineChars="0"/>
        <w:rPr>
          <w:rFonts w:hint="eastAsia" w:ascii="宋体" w:hAnsi="宋体" w:eastAsia="宋体" w:cs="Times New Roman"/>
          <w:sz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本理财产品业绩比较基准是产品管理人在本《理财产品说明书》约定的投资范围内，根据产品投资策略、市场环境、各类资产的投资比例，并同时参考发行时已知的</w:t>
      </w:r>
      <w:r>
        <w:rPr>
          <w:rFonts w:hint="eastAsia" w:ascii="宋体" w:hAnsi="宋体" w:eastAsia="宋体" w:cs="Times New Roman"/>
          <w:sz w:val="24"/>
        </w:rPr>
        <w:t>同业存单、信用债和存款等资产仓位不低于8</w:t>
      </w:r>
      <w:r>
        <w:rPr>
          <w:rFonts w:hint="eastAsia" w:ascii="宋体" w:hAnsi="宋体" w:eastAsia="宋体" w:cs="Times New Roman"/>
          <w:sz w:val="24"/>
          <w:lang w:val="en-US"/>
        </w:rPr>
        <w:t>5</w:t>
      </w:r>
      <w:r>
        <w:rPr>
          <w:rFonts w:hint="eastAsia" w:ascii="宋体" w:hAnsi="宋体" w:eastAsia="宋体" w:cs="Times New Roman"/>
          <w:sz w:val="24"/>
        </w:rPr>
        <w:t>%为例</w:t>
      </w:r>
      <w:r>
        <w:rPr>
          <w:rFonts w:hint="eastAsia" w:ascii="宋体" w:hAnsi="宋体" w:eastAsia="宋体" w:cs="Times New Roman"/>
          <w:sz w:val="24"/>
          <w:lang w:val="en-US" w:eastAsia="zh-CN"/>
        </w:rPr>
        <w:t>及</w:t>
      </w:r>
      <w:r>
        <w:rPr>
          <w:rFonts w:hint="eastAsia" w:ascii="宋体" w:hAnsi="宋体" w:eastAsia="宋体" w:cs="Times New Roman"/>
          <w:sz w:val="24"/>
        </w:rPr>
        <w:t>中债-综合财富指数收益率、产品综合费率</w:t>
      </w:r>
      <w:r>
        <w:rPr>
          <w:rFonts w:hint="eastAsia" w:ascii="宋体" w:hAnsi="宋体" w:eastAsia="宋体" w:cs="Times New Roman"/>
          <w:sz w:val="24"/>
          <w:lang w:val="en-US" w:eastAsia="zh-CN"/>
        </w:rPr>
        <w:t>等因素综合测算而得出。</w:t>
      </w:r>
    </w:p>
    <w:p>
      <w:pPr>
        <w:spacing w:line="360" w:lineRule="auto"/>
        <w:ind w:firstLine="480"/>
        <w:rPr>
          <w:rFonts w:hint="eastAsia" w:ascii="宋体" w:hAnsi="宋体" w:eastAsia="宋体" w:cs="Times New Roman"/>
          <w:b w:val="0"/>
          <w:bCs w:val="0"/>
          <w:sz w:val="24"/>
        </w:rPr>
      </w:pPr>
      <w:r>
        <w:rPr>
          <w:rFonts w:hint="eastAsia" w:ascii="宋体" w:hAnsi="宋体" w:eastAsia="宋体" w:cs="Times New Roman"/>
          <w:sz w:val="24"/>
        </w:rPr>
        <w:t>★业绩比较基准是</w:t>
      </w:r>
      <w:r>
        <w:rPr>
          <w:rFonts w:hint="eastAsia" w:ascii="宋体" w:hAnsi="宋体" w:eastAsia="宋体" w:cs="Times New Roman"/>
          <w:sz w:val="24"/>
          <w:lang w:val="en-US" w:eastAsia="zh-CN"/>
        </w:rPr>
        <w:t>产品</w:t>
      </w:r>
      <w:r>
        <w:rPr>
          <w:rFonts w:hint="eastAsia" w:ascii="宋体" w:hAnsi="宋体" w:eastAsia="宋体" w:cs="Times New Roman"/>
          <w:sz w:val="24"/>
        </w:rPr>
        <w:t>管理人基于产品性质、投资策略、过往经验、市场预判等因素对</w:t>
      </w:r>
      <w:r>
        <w:rPr>
          <w:rFonts w:hint="eastAsia" w:ascii="宋体" w:hAnsi="宋体" w:eastAsia="宋体" w:cs="Times New Roman"/>
          <w:sz w:val="24"/>
          <w:lang w:val="en-US" w:eastAsia="zh-CN"/>
        </w:rPr>
        <w:t>本理财</w:t>
      </w:r>
      <w:r>
        <w:rPr>
          <w:rFonts w:hint="eastAsia" w:ascii="宋体" w:hAnsi="宋体" w:eastAsia="宋体" w:cs="Times New Roman"/>
          <w:sz w:val="24"/>
        </w:rPr>
        <w:t>产品设定的投资目标。</w:t>
      </w:r>
      <w:r>
        <w:rPr>
          <w:rFonts w:hint="eastAsia" w:ascii="宋体" w:hAnsi="宋体" w:eastAsia="宋体" w:cs="Times New Roman"/>
          <w:b/>
          <w:bCs/>
          <w:sz w:val="24"/>
        </w:rPr>
        <w:t>业绩比较基准不是预期收益率，不代表产品的未来表现和实际收益，不构成对产品收益的承诺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，投资</w:t>
      </w:r>
      <w:r>
        <w:rPr>
          <w:rFonts w:hint="eastAsia" w:ascii="宋体" w:hAnsi="宋体" w:eastAsia="宋体" w:cs="Times New Roman"/>
          <w:b/>
          <w:bCs/>
          <w:sz w:val="24"/>
        </w:rPr>
        <w:t>须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谨慎</w:t>
      </w:r>
      <w:r>
        <w:rPr>
          <w:rFonts w:hint="eastAsia" w:ascii="宋体" w:hAnsi="宋体" w:eastAsia="宋体" w:cs="Times New Roman"/>
          <w:b w:val="0"/>
          <w:bCs w:val="0"/>
          <w:sz w:val="24"/>
        </w:rPr>
        <w:t>。</w:t>
      </w:r>
      <w:bookmarkStart w:id="0" w:name="_GoBack"/>
      <w:bookmarkEnd w:id="0"/>
    </w:p>
    <w:p>
      <w:pPr>
        <w:spacing w:line="360" w:lineRule="auto"/>
        <w:ind w:firstLine="480" w:firstLineChars="0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本次调整自202</w:t>
      </w:r>
      <w:r>
        <w:rPr>
          <w:rFonts w:hint="eastAsia" w:ascii="宋体" w:hAnsi="宋体" w:cs="Times New Roman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年</w:t>
      </w:r>
      <w:r>
        <w:rPr>
          <w:rFonts w:hint="eastAsia" w:ascii="宋体" w:hAnsi="宋体" w:cs="Times New Roman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月</w:t>
      </w:r>
      <w:r>
        <w:rPr>
          <w:rFonts w:hint="eastAsia" w:ascii="宋体" w:hAnsi="宋体" w:cs="Times New Roman"/>
          <w:sz w:val="24"/>
          <w:szCs w:val="24"/>
          <w:lang w:val="en-US" w:eastAsia="zh-CN"/>
        </w:rPr>
        <w:t>25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日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（含）起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生效，若本产品的投资者在202</w:t>
      </w:r>
      <w:r>
        <w:rPr>
          <w:rFonts w:hint="eastAsia" w:ascii="宋体" w:hAnsi="宋体" w:cs="Times New Roman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年</w:t>
      </w:r>
      <w:r>
        <w:rPr>
          <w:rFonts w:hint="eastAsia" w:ascii="宋体" w:hAnsi="宋体" w:cs="Times New Roman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月</w:t>
      </w:r>
      <w:r>
        <w:rPr>
          <w:rFonts w:hint="eastAsia" w:ascii="宋体" w:hAnsi="宋体" w:cs="Times New Roman"/>
          <w:sz w:val="24"/>
          <w:szCs w:val="24"/>
          <w:lang w:val="en-US" w:eastAsia="zh-CN"/>
        </w:rPr>
        <w:t>25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日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（含）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仍继续持有本产品的，将视为投资者同意接受本次调整的全部内容并按其执行。</w:t>
      </w:r>
    </w:p>
    <w:p>
      <w:pPr>
        <w:spacing w:line="360" w:lineRule="auto"/>
        <w:ind w:firstLine="480" w:firstLineChars="0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感谢您一直以来对北银理财的信赖与支持！我司将继续为您提供更优质的理财服务。</w:t>
      </w:r>
    </w:p>
    <w:p>
      <w:pPr>
        <w:spacing w:line="360" w:lineRule="auto"/>
        <w:ind w:firstLine="480" w:firstLineChars="0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特此公告。</w:t>
      </w:r>
    </w:p>
    <w:p>
      <w:pPr>
        <w:shd w:val="clear"/>
        <w:spacing w:before="0" w:beforeAutospacing="0" w:after="0" w:afterAutospacing="0" w:line="360" w:lineRule="auto"/>
        <w:ind w:firstLine="5822" w:firstLineChars="2426"/>
        <w:jc w:val="left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</w:rPr>
        <w:t>北银理财有限责任公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司</w:t>
      </w:r>
    </w:p>
    <w:p>
      <w:pPr>
        <w:shd w:val="clear" w:color="auto" w:fill="FFFFFF"/>
        <w:spacing w:before="100" w:beforeAutospacing="1" w:after="100" w:afterAutospacing="1"/>
        <w:jc w:val="right"/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202</w:t>
      </w:r>
      <w:r>
        <w:rPr>
          <w:rFonts w:hint="eastAsia" w:ascii="宋体" w:hAnsi="宋体" w:cs="Times New Roman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Times New Roman"/>
          <w:sz w:val="24"/>
          <w:szCs w:val="24"/>
        </w:rPr>
        <w:t>年</w:t>
      </w:r>
      <w:r>
        <w:rPr>
          <w:rFonts w:hint="eastAsia" w:ascii="宋体" w:hAnsi="宋体" w:cs="Times New Roman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Times New Roman"/>
          <w:sz w:val="24"/>
          <w:szCs w:val="24"/>
        </w:rPr>
        <w:t>月</w:t>
      </w:r>
      <w:r>
        <w:rPr>
          <w:rFonts w:hint="eastAsia" w:ascii="宋体" w:hAnsi="宋体" w:cs="Times New Roman"/>
          <w:sz w:val="24"/>
          <w:szCs w:val="24"/>
          <w:lang w:val="en-US" w:eastAsia="zh-CN"/>
        </w:rPr>
        <w:t>11</w:t>
      </w:r>
      <w:r>
        <w:rPr>
          <w:rFonts w:hint="eastAsia" w:ascii="宋体" w:hAnsi="宋体" w:eastAsia="宋体" w:cs="Times New Roman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decorative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decorative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FlZmE2YTQ5MzUyMTdmNzc3MjYyMjQ4YTNmNWFlZWYifQ=="/>
  </w:docVars>
  <w:rsids>
    <w:rsidRoot w:val="11F251A2"/>
    <w:rsid w:val="0443230C"/>
    <w:rsid w:val="0AC522A7"/>
    <w:rsid w:val="11F251A2"/>
    <w:rsid w:val="16BF0F8F"/>
    <w:rsid w:val="1998289F"/>
    <w:rsid w:val="1FD42B6F"/>
    <w:rsid w:val="23CC1B62"/>
    <w:rsid w:val="31EC4C85"/>
    <w:rsid w:val="39443EC3"/>
    <w:rsid w:val="52495C74"/>
    <w:rsid w:val="52803AFF"/>
    <w:rsid w:val="529A29BE"/>
    <w:rsid w:val="540F22E4"/>
    <w:rsid w:val="5A6148A0"/>
    <w:rsid w:val="60734688"/>
    <w:rsid w:val="638532D5"/>
    <w:rsid w:val="63EC4B12"/>
    <w:rsid w:val="79A0421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after="120"/>
      <w:ind w:left="420" w:leftChars="200"/>
    </w:pPr>
  </w:style>
  <w:style w:type="paragraph" w:styleId="3">
    <w:name w:val="Body Text"/>
    <w:basedOn w:val="1"/>
    <w:next w:val="1"/>
    <w:unhideWhenUsed/>
    <w:qFormat/>
    <w:uiPriority w:val="99"/>
    <w:pPr>
      <w:spacing w:before="120" w:after="120"/>
    </w:pPr>
  </w:style>
  <w:style w:type="paragraph" w:styleId="4">
    <w:name w:val="Normal Indent"/>
    <w:basedOn w:val="1"/>
    <w:next w:val="1"/>
    <w:unhideWhenUsed/>
    <w:qFormat/>
    <w:uiPriority w:val="99"/>
    <w:pPr>
      <w:ind w:firstLine="420" w:firstLineChars="200"/>
    </w:pPr>
  </w:style>
  <w:style w:type="paragraph" w:styleId="5">
    <w:name w:val="Body Text First Indent 2"/>
    <w:basedOn w:val="2"/>
    <w:next w:val="3"/>
    <w:unhideWhenUsed/>
    <w:qFormat/>
    <w:uiPriority w:val="99"/>
    <w:pPr>
      <w:ind w:firstLine="420" w:firstLineChars="200"/>
    </w:pPr>
    <w:rPr>
      <w:rFonts w:ascii="Calibri" w:hAnsi="Calibri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651</Words>
  <Characters>716</Characters>
  <Lines>0</Lines>
  <Paragraphs>0</Paragraphs>
  <TotalTime>0</TotalTime>
  <ScaleCrop>false</ScaleCrop>
  <LinksUpToDate>false</LinksUpToDate>
  <CharactersWithSpaces>716</CharactersWithSpaces>
  <Application>WPS Office_10.8.0.5603_F1E327BC-269C-435d-A152-05C5408002CA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2025-03-12T08:18:00Z</dcterms:created>
  <dc:creator>北银理财-龚玥</dc:creator>
  <cp:lastModifiedBy>沈兹玖_产品管理部</cp:lastModifiedBy>
  <dcterms:modified xsi:type="dcterms:W3CDTF">2026-02-11T07:03:52Z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2052-10.8.0.5603</vt:lpwstr>
  </property>
  <property fmtid="{D5CDD505-2E9C-101B-9397-08002B2CF9AE}" pid="3" name="ICV">
    <vt:lpwstr>869FC7B1C5754155A16B6F6E7A73427C</vt:lpwstr>
  </property>
</Properties>
</file>