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2" w:firstLineChars="200"/>
        <w:jc w:val="center"/>
        <w:rPr>
          <w:rFonts w:hint="eastAsia"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关于</w:t>
      </w:r>
      <w:r>
        <w:rPr>
          <w:rFonts w:hint="eastAsia" w:ascii="宋体" w:hAnsi="宋体" w:eastAsia="宋体" w:cs="Times New Roman"/>
          <w:b/>
          <w:sz w:val="28"/>
          <w:szCs w:val="28"/>
        </w:rPr>
        <w:t>“</w:t>
      </w:r>
      <w:r>
        <w:rPr>
          <w:rFonts w:hint="eastAsia" w:ascii="宋体" w:hAnsi="宋体"/>
          <w:b/>
          <w:sz w:val="28"/>
          <w:szCs w:val="28"/>
          <w:lang w:eastAsia="zh-CN"/>
        </w:rPr>
        <w:t>北银理财京华远见春系列天天金37号理财产品</w:t>
      </w:r>
      <w:r>
        <w:rPr>
          <w:rFonts w:hint="eastAsia" w:ascii="宋体" w:hAnsi="宋体" w:eastAsia="宋体" w:cs="Times New Roman"/>
          <w:b/>
          <w:sz w:val="28"/>
          <w:szCs w:val="28"/>
        </w:rPr>
        <w:t>”</w:t>
      </w:r>
    </w:p>
    <w:p>
      <w:pPr>
        <w:ind w:firstLine="562" w:firstLineChars="200"/>
        <w:jc w:val="center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增</w:t>
      </w:r>
      <w:r>
        <w:rPr>
          <w:rFonts w:hint="eastAsia" w:ascii="宋体" w:hAnsi="宋体" w:cs="Times New Roman"/>
          <w:b/>
          <w:sz w:val="28"/>
          <w:szCs w:val="28"/>
          <w:lang w:val="en-US" w:eastAsia="zh-CN"/>
        </w:rPr>
        <w:t>加代销机构</w:t>
      </w:r>
      <w:r>
        <w:rPr>
          <w:rFonts w:hint="eastAsia" w:ascii="宋体" w:hAnsi="宋体"/>
          <w:b/>
          <w:sz w:val="28"/>
          <w:szCs w:val="28"/>
        </w:rPr>
        <w:t>的公告</w:t>
      </w:r>
    </w:p>
    <w:p>
      <w:pPr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尊敬的投资者：</w:t>
      </w:r>
    </w:p>
    <w:p>
      <w:pPr>
        <w:tabs>
          <w:tab w:val="left" w:pos="915"/>
          <w:tab w:val="center" w:pos="5273"/>
        </w:tabs>
        <w:spacing w:before="50" w:line="600" w:lineRule="auto"/>
        <w:ind w:firstLine="480"/>
        <w:rPr>
          <w:rFonts w:ascii="宋体" w:hAnsi="宋体" w:cs="宋体"/>
          <w:sz w:val="24"/>
          <w:szCs w:val="24"/>
          <w:highlight w:val="yellow"/>
        </w:rPr>
      </w:pPr>
      <w:r>
        <w:rPr>
          <w:rFonts w:hint="eastAsia" w:ascii="宋体" w:hAnsi="宋体" w:cs="宋体"/>
          <w:sz w:val="24"/>
          <w:lang w:eastAsia="zh-CN"/>
        </w:rPr>
        <w:t>北银理财京华远见春系列天天金37号理财产品</w:t>
      </w:r>
      <w:r>
        <w:rPr>
          <w:rFonts w:hint="eastAsia" w:ascii="宋体" w:hAnsi="宋体" w:eastAsia="宋体" w:cs="宋体"/>
          <w:sz w:val="24"/>
          <w:szCs w:val="24"/>
        </w:rPr>
        <w:t>（产品代码：</w:t>
      </w:r>
      <w:r>
        <w:rPr>
          <w:rFonts w:hint="eastAsia" w:ascii="宋体" w:hAnsi="宋体" w:cs="宋体"/>
          <w:sz w:val="24"/>
          <w:szCs w:val="24"/>
          <w:lang w:eastAsia="zh-CN"/>
        </w:rPr>
        <w:t>YJ01251048</w:t>
      </w:r>
      <w:r>
        <w:rPr>
          <w:rFonts w:hint="eastAsia" w:ascii="宋体" w:hAnsi="宋体" w:eastAsia="宋体" w:cs="宋体"/>
          <w:sz w:val="24"/>
          <w:szCs w:val="24"/>
        </w:rPr>
        <w:t>，理财产品登记编码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Z7008925000628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）（以下简称“本产品”）于202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年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月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28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日成立。</w:t>
      </w:r>
      <w:r>
        <w:rPr>
          <w:rFonts w:ascii="宋体" w:hAnsi="宋体" w:cs="宋体"/>
          <w:sz w:val="24"/>
          <w:szCs w:val="24"/>
          <w:highlight w:val="none"/>
        </w:rPr>
        <w:t>为满足广大投资者的需要，产品管理人决定自202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6</w:t>
      </w:r>
      <w:r>
        <w:rPr>
          <w:rFonts w:ascii="宋体" w:hAnsi="宋体" w:cs="宋体"/>
          <w:sz w:val="24"/>
          <w:szCs w:val="24"/>
          <w:highlight w:val="none"/>
        </w:rPr>
        <w:t>年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2</w:t>
      </w:r>
      <w:r>
        <w:rPr>
          <w:rFonts w:ascii="宋体" w:hAnsi="宋体" w:cs="宋体"/>
          <w:sz w:val="24"/>
          <w:szCs w:val="24"/>
          <w:highlight w:val="none"/>
        </w:rPr>
        <w:t>月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3</w:t>
      </w:r>
      <w:r>
        <w:rPr>
          <w:rFonts w:ascii="宋体" w:hAnsi="宋体" w:cs="宋体"/>
          <w:sz w:val="24"/>
          <w:szCs w:val="24"/>
          <w:highlight w:val="none"/>
        </w:rPr>
        <w:t>日起</w:t>
      </w:r>
      <w:r>
        <w:rPr>
          <w:rFonts w:hint="eastAsia" w:ascii="宋体" w:hAnsi="宋体" w:cs="宋体"/>
          <w:sz w:val="24"/>
          <w:szCs w:val="24"/>
          <w:highlight w:val="none"/>
        </w:rPr>
        <w:t>，对本产品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B</w:t>
      </w:r>
      <w:r>
        <w:rPr>
          <w:rFonts w:hint="eastAsia" w:ascii="宋体" w:hAnsi="宋体"/>
          <w:sz w:val="24"/>
          <w:szCs w:val="24"/>
          <w:highlight w:val="none"/>
        </w:rPr>
        <w:t>类产品份额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新增代销机构</w:t>
      </w:r>
      <w:r>
        <w:rPr>
          <w:rFonts w:hint="eastAsia" w:ascii="宋体" w:hAnsi="宋体" w:cs="宋体"/>
          <w:sz w:val="24"/>
          <w:szCs w:val="24"/>
          <w:highlight w:val="none"/>
        </w:rPr>
        <w:t>。本产品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新增代销机构后</w:t>
      </w:r>
      <w:r>
        <w:rPr>
          <w:rFonts w:hint="eastAsia" w:ascii="宋体" w:hAnsi="宋体" w:cs="宋体"/>
          <w:sz w:val="24"/>
          <w:szCs w:val="24"/>
          <w:highlight w:val="none"/>
        </w:rPr>
        <w:t>相关</w:t>
      </w:r>
      <w:r>
        <w:rPr>
          <w:rFonts w:ascii="宋体" w:hAnsi="宋体" w:cs="宋体"/>
          <w:sz w:val="24"/>
          <w:szCs w:val="24"/>
          <w:highlight w:val="none"/>
        </w:rPr>
        <w:t>主要要素信息如下：</w:t>
      </w:r>
    </w:p>
    <w:tbl>
      <w:tblPr>
        <w:tblStyle w:val="5"/>
        <w:tblW w:w="10916" w:type="dxa"/>
        <w:tblInd w:w="-13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9"/>
        <w:gridCol w:w="1843"/>
        <w:gridCol w:w="1984"/>
        <w:gridCol w:w="2108"/>
        <w:gridCol w:w="27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2269" w:type="dxa"/>
            <w:vAlign w:val="center"/>
          </w:tcPr>
          <w:p>
            <w:pPr>
              <w:snapToGrid w:val="0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产品名称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产品份额类别</w:t>
            </w:r>
          </w:p>
        </w:tc>
        <w:tc>
          <w:tcPr>
            <w:tcW w:w="1984" w:type="dxa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产品销售代码</w:t>
            </w:r>
          </w:p>
        </w:tc>
        <w:tc>
          <w:tcPr>
            <w:tcW w:w="2108" w:type="dxa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产品销售名称</w:t>
            </w:r>
          </w:p>
        </w:tc>
        <w:tc>
          <w:tcPr>
            <w:tcW w:w="2712" w:type="dxa"/>
            <w:vAlign w:val="top"/>
          </w:tcPr>
          <w:p>
            <w:pP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代销机构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2269" w:type="dxa"/>
            <w:vMerge w:val="restart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  <w:lang w:eastAsia="zh-CN"/>
              </w:rPr>
              <w:t>北银理财京华远见春系列天天金37号理财产品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hint="eastAsia" w:ascii="宋体" w:hAnsi="宋体" w:cs="宋体"/>
                <w:color w:val="000000"/>
                <w:sz w:val="24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/>
              </w:rPr>
              <w:t>A</w:t>
            </w: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  <w:t>类份额</w:t>
            </w:r>
          </w:p>
        </w:tc>
        <w:tc>
          <w:tcPr>
            <w:tcW w:w="1984" w:type="dxa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eastAsia="zh-CN"/>
              </w:rPr>
              <w:t>YJ01251048</w:t>
            </w: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A</w:t>
            </w:r>
          </w:p>
        </w:tc>
        <w:tc>
          <w:tcPr>
            <w:tcW w:w="2108" w:type="dxa"/>
            <w:vAlign w:val="top"/>
          </w:tcPr>
          <w:p>
            <w:pPr>
              <w:rPr>
                <w:rFonts w:hint="eastAsia" w:ascii="宋体" w:hAnsi="宋体" w:cs="宋体"/>
                <w:bCs/>
                <w:color w:val="000000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春系列天天金37号A类份额</w:t>
            </w:r>
          </w:p>
        </w:tc>
        <w:tc>
          <w:tcPr>
            <w:tcW w:w="2712" w:type="dxa"/>
            <w:vAlign w:val="top"/>
          </w:tcPr>
          <w:p>
            <w:pPr>
              <w:rPr>
                <w:rFonts w:hint="eastAsia" w:ascii="宋体" w:hAnsi="宋体" w:cs="宋体"/>
                <w:color w:val="000000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兴业银行股份有限公司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2269" w:type="dxa"/>
            <w:vMerge w:val="continue"/>
            <w:vAlign w:val="center"/>
          </w:tcPr>
          <w:p>
            <w:pP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843" w:type="dxa"/>
            <w:vAlign w:val="top"/>
          </w:tcPr>
          <w:p>
            <w:pPr>
              <w:rPr>
                <w:rFonts w:hint="eastAsia" w:ascii="宋体" w:hAnsi="宋体" w:cs="宋体"/>
                <w:color w:val="000000"/>
                <w:sz w:val="24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B类份额</w:t>
            </w:r>
          </w:p>
        </w:tc>
        <w:tc>
          <w:tcPr>
            <w:tcW w:w="1984" w:type="dxa"/>
            <w:vAlign w:val="top"/>
          </w:tcPr>
          <w:p>
            <w:pPr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YJ01251048B</w:t>
            </w:r>
          </w:p>
        </w:tc>
        <w:tc>
          <w:tcPr>
            <w:tcW w:w="2108" w:type="dxa"/>
            <w:vAlign w:val="top"/>
          </w:tcPr>
          <w:p>
            <w:pPr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春系列天天金37号B类份额</w:t>
            </w:r>
          </w:p>
        </w:tc>
        <w:tc>
          <w:tcPr>
            <w:tcW w:w="2712" w:type="dxa"/>
            <w:vAlign w:val="top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苏州银行股份有限公司</w:t>
            </w: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嘉兴银行股份有限公司</w:t>
            </w: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桂林银行股份有限公司</w:t>
            </w: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郑州银行股份有限公司</w:t>
            </w: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重庆富民银行股份有限公司</w:t>
            </w: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南粤银行股份有限公司</w:t>
            </w: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内蒙古银行股份有限公司</w:t>
            </w: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中原银行股份有限公司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2269" w:type="dxa"/>
            <w:vMerge w:val="continue"/>
            <w:vAlign w:val="center"/>
          </w:tcPr>
          <w:p>
            <w:pP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843" w:type="dxa"/>
            <w:vAlign w:val="top"/>
          </w:tcPr>
          <w:p>
            <w:pPr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C类份额</w:t>
            </w:r>
          </w:p>
        </w:tc>
        <w:tc>
          <w:tcPr>
            <w:tcW w:w="1984" w:type="dxa"/>
            <w:vAlign w:val="top"/>
          </w:tcPr>
          <w:p>
            <w:pPr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YJ01251048C</w:t>
            </w:r>
          </w:p>
        </w:tc>
        <w:tc>
          <w:tcPr>
            <w:tcW w:w="2108" w:type="dxa"/>
            <w:vAlign w:val="top"/>
          </w:tcPr>
          <w:p>
            <w:pPr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春系列天天金37号C类份额</w:t>
            </w:r>
          </w:p>
        </w:tc>
        <w:tc>
          <w:tcPr>
            <w:tcW w:w="2712" w:type="dxa"/>
            <w:vAlign w:val="top"/>
          </w:tcPr>
          <w:p>
            <w:pPr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苏州银行股份有限公司</w:t>
            </w:r>
          </w:p>
        </w:tc>
      </w:tr>
    </w:tbl>
    <w:p>
      <w:pPr>
        <w:spacing w:beforeLines="0" w:afterLines="0" w:line="480" w:lineRule="auto"/>
        <w:ind w:firstLine="480" w:firstLineChars="200"/>
        <w:rPr>
          <w:rFonts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详情以具体理财产品销售文件为准，</w:t>
      </w:r>
      <w:r>
        <w:rPr>
          <w:rFonts w:ascii="宋体" w:hAnsi="宋体" w:cs="宋体"/>
          <w:sz w:val="24"/>
          <w:szCs w:val="24"/>
          <w:highlight w:val="none"/>
        </w:rPr>
        <w:t xml:space="preserve">投资者可根据实际情况自行选择认购产品份额类别。 </w:t>
      </w:r>
    </w:p>
    <w:p>
      <w:pPr>
        <w:spacing w:beforeLines="0" w:afterLines="0" w:line="480" w:lineRule="auto"/>
        <w:ind w:firstLine="480" w:firstLineChars="2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感谢您一直以来对北银理财的信赖与支持！我司将继续为您提供更优质的理财服务。</w:t>
      </w:r>
    </w:p>
    <w:p>
      <w:pPr>
        <w:spacing w:beforeLines="0" w:afterLines="0" w:line="480" w:lineRule="auto"/>
        <w:ind w:firstLine="480" w:firstLineChars="2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特此公告。</w:t>
      </w:r>
    </w:p>
    <w:p>
      <w:pPr>
        <w:spacing w:beforeLines="0" w:afterLines="0" w:line="480" w:lineRule="auto"/>
        <w:ind w:firstLine="480" w:firstLineChars="2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                                            </w:t>
      </w:r>
      <w:r>
        <w:rPr>
          <w:rFonts w:hint="default" w:ascii="宋体" w:hAnsi="宋体"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宋体" w:hAnsi="宋体"/>
          <w:sz w:val="24"/>
          <w:szCs w:val="24"/>
          <w:highlight w:val="none"/>
        </w:rPr>
        <w:t>北银理财有限责任公司</w:t>
      </w:r>
    </w:p>
    <w:p>
      <w:pPr>
        <w:spacing w:beforeLines="0" w:afterLines="0" w:line="480" w:lineRule="auto"/>
        <w:ind w:firstLine="480" w:firstLineChars="200"/>
      </w:pPr>
      <w:r>
        <w:rPr>
          <w:rFonts w:hint="eastAsia" w:ascii="宋体" w:hAnsi="宋体"/>
          <w:sz w:val="24"/>
          <w:szCs w:val="24"/>
          <w:highlight w:val="none"/>
        </w:rPr>
        <w:t xml:space="preserve">                                              </w:t>
      </w:r>
      <w:r>
        <w:rPr>
          <w:rFonts w:hint="default" w:ascii="宋体" w:hAnsi="宋体"/>
          <w:sz w:val="24"/>
          <w:szCs w:val="24"/>
          <w:highlight w:val="none"/>
          <w:lang w:val="en-US"/>
        </w:rPr>
        <w:t xml:space="preserve"> </w:t>
      </w:r>
      <w:r>
        <w:rPr>
          <w:rFonts w:ascii="宋体" w:hAnsi="宋体"/>
          <w:sz w:val="24"/>
          <w:szCs w:val="24"/>
          <w:highlight w:val="none"/>
        </w:rPr>
        <w:t>202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/>
          <w:sz w:val="24"/>
          <w:szCs w:val="24"/>
          <w:highlight w:val="none"/>
        </w:rPr>
        <w:t>年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/>
          <w:sz w:val="24"/>
          <w:szCs w:val="24"/>
          <w:highlight w:val="none"/>
        </w:rPr>
        <w:t>月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/>
          <w:sz w:val="24"/>
          <w:szCs w:val="24"/>
          <w:highlight w:val="none"/>
        </w:rPr>
        <w:t>日</w:t>
      </w:r>
      <w:bookmarkStart w:id="0" w:name="_GoBack"/>
      <w:bookmarkEnd w:id="0"/>
    </w:p>
    <w:sectPr>
      <w:pgSz w:w="11906" w:h="16838"/>
      <w:pgMar w:top="1020" w:right="1800" w:bottom="1020" w:left="1800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723318"/>
    <w:rsid w:val="00D6772B"/>
    <w:rsid w:val="05572F18"/>
    <w:rsid w:val="070B6549"/>
    <w:rsid w:val="08A50B7A"/>
    <w:rsid w:val="0DCF5988"/>
    <w:rsid w:val="14A37DD1"/>
    <w:rsid w:val="158545FC"/>
    <w:rsid w:val="15C11BD8"/>
    <w:rsid w:val="19671701"/>
    <w:rsid w:val="1B8B5BEF"/>
    <w:rsid w:val="1DC04E3F"/>
    <w:rsid w:val="1DDB3A56"/>
    <w:rsid w:val="2024768A"/>
    <w:rsid w:val="277A739B"/>
    <w:rsid w:val="2CB97382"/>
    <w:rsid w:val="325611FA"/>
    <w:rsid w:val="337D2570"/>
    <w:rsid w:val="355579D1"/>
    <w:rsid w:val="3C4153B6"/>
    <w:rsid w:val="3D967959"/>
    <w:rsid w:val="3F3A3AF4"/>
    <w:rsid w:val="4034774F"/>
    <w:rsid w:val="4148067E"/>
    <w:rsid w:val="48B41867"/>
    <w:rsid w:val="542A3508"/>
    <w:rsid w:val="5E5839F1"/>
    <w:rsid w:val="5F2A43F4"/>
    <w:rsid w:val="618B199C"/>
    <w:rsid w:val="6E6C5247"/>
    <w:rsid w:val="70920383"/>
    <w:rsid w:val="70F309FE"/>
    <w:rsid w:val="75F97103"/>
    <w:rsid w:val="7857416E"/>
    <w:rsid w:val="7B723318"/>
    <w:rsid w:val="7BA076D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unhideWhenUsed/>
    <w:qFormat/>
    <w:uiPriority w:val="99"/>
    <w:pPr>
      <w:ind w:firstLine="420" w:firstLineChars="200"/>
    </w:pPr>
    <w:rPr>
      <w:rFonts w:ascii="Calibri" w:hAnsi="Calibri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Body Text"/>
    <w:basedOn w:val="1"/>
    <w:unhideWhenUsed/>
    <w:qFormat/>
    <w:uiPriority w:val="99"/>
    <w:pPr>
      <w:spacing w:before="120"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594</Words>
  <Characters>671</Characters>
  <Lines>0</Lines>
  <Paragraphs>0</Paragraphs>
  <TotalTime>12</TotalTime>
  <ScaleCrop>false</ScaleCrop>
  <LinksUpToDate>false</LinksUpToDate>
  <CharactersWithSpaces>764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2024-07-04T02:39:00Z</dcterms:created>
  <dc:creator>王珍_产品管理部</dc:creator>
  <cp:lastModifiedBy>鲁西_产品管理部</cp:lastModifiedBy>
  <dcterms:modified xsi:type="dcterms:W3CDTF">2026-02-02T06:00:22Z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9EC818DB61894486B268698810048293</vt:lpwstr>
  </property>
</Properties>
</file>