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51EC4"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嘉银周周盈1号开放式净值型理财产品</w:t>
      </w:r>
    </w:p>
    <w:p w14:paraId="68364F89"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4</w:t>
      </w:r>
      <w:r>
        <w:rPr>
          <w:rFonts w:hint="eastAsia" w:ascii="宋体" w:hAnsi="宋体"/>
          <w:b/>
          <w:sz w:val="32"/>
          <w:szCs w:val="32"/>
        </w:rPr>
        <w:t>季度报告暨年度报告</w:t>
      </w:r>
    </w:p>
    <w:p w14:paraId="4561C27E">
      <w:pPr>
        <w:jc w:val="center"/>
        <w:rPr>
          <w:rFonts w:hint="eastAsia" w:ascii="宋体" w:hAnsi="宋体"/>
          <w:b/>
          <w:sz w:val="32"/>
          <w:szCs w:val="32"/>
        </w:rPr>
      </w:pPr>
    </w:p>
    <w:p w14:paraId="580F6218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1A5C28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9267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7114FB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嘉银周周盈1号开放式净值型理财产品</w:t>
            </w:r>
          </w:p>
        </w:tc>
      </w:tr>
      <w:tr w14:paraId="324A7E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9B0D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B9946F4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ZZY</w:t>
            </w:r>
          </w:p>
        </w:tc>
      </w:tr>
      <w:tr w14:paraId="123104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84AF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1A6153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C1092324000061</w:t>
            </w:r>
          </w:p>
        </w:tc>
      </w:tr>
      <w:tr w14:paraId="207FC1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A3F0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9BBEAF9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开放式净值型</w:t>
            </w:r>
          </w:p>
        </w:tc>
      </w:tr>
      <w:tr w14:paraId="07F779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3B0E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86F71A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1,417,130,163.21份</w:t>
            </w:r>
          </w:p>
        </w:tc>
      </w:tr>
      <w:tr w14:paraId="1F98E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14A9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BCB427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6864E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F7CC1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321239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1.20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1.80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14:paraId="65BA05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3B6A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F397A21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75643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F00B1F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353BC1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招商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银行股份有限公司</w:t>
            </w:r>
          </w:p>
        </w:tc>
      </w:tr>
    </w:tbl>
    <w:p w14:paraId="5C399AF8">
      <w:pPr>
        <w:rPr>
          <w:rFonts w:hint="eastAsia"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31F5EE0B">
      <w:pPr>
        <w:rPr>
          <w:rFonts w:hint="eastAsia" w:ascii="宋体" w:hAnsi="宋体"/>
          <w:sz w:val="22"/>
        </w:rPr>
      </w:pPr>
      <w:bookmarkStart w:id="0" w:name="_GoBack"/>
      <w:bookmarkEnd w:id="0"/>
    </w:p>
    <w:p w14:paraId="1D19FCD3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3F46DDB0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32C94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B575B07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84162F0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C72893C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BAEAFC3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5FA48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7FE9AAD0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/3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461AF7A4">
            <w:pPr>
              <w:ind w:right="3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1.034022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3570CC5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1.034022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D9D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1,465,343,727.38 </w:t>
            </w:r>
          </w:p>
        </w:tc>
      </w:tr>
    </w:tbl>
    <w:p w14:paraId="5A59115D">
      <w:pPr>
        <w:ind w:firstLine="440"/>
        <w:jc w:val="center"/>
        <w:rPr>
          <w:rFonts w:ascii="宋体" w:hAnsi="宋体"/>
          <w:sz w:val="22"/>
        </w:rPr>
      </w:pPr>
    </w:p>
    <w:p w14:paraId="565F9C6C">
      <w:pPr>
        <w:ind w:firstLine="440"/>
        <w:jc w:val="center"/>
        <w:rPr>
          <w:rFonts w:ascii="宋体" w:hAnsi="宋体"/>
          <w:sz w:val="22"/>
        </w:rPr>
      </w:pPr>
    </w:p>
    <w:p w14:paraId="2A3246E3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2546E8E2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100.41%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398E4D12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35769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0AC1C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40AE4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45971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53D38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FBC86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4F0E0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40E43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EDD41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C68D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7A86C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56DF4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2762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E5A6A3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6CDA0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4152A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103663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CEB44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44BE2A73">
      <w:pPr>
        <w:rPr>
          <w:rFonts w:ascii="宋体" w:hAnsi="宋体"/>
          <w:b/>
          <w:bCs/>
          <w:sz w:val="22"/>
        </w:rPr>
      </w:pPr>
    </w:p>
    <w:p w14:paraId="7934C734">
      <w:pPr>
        <w:rPr>
          <w:rFonts w:ascii="宋体" w:hAnsi="宋体"/>
          <w:b/>
          <w:bCs/>
          <w:sz w:val="22"/>
        </w:rPr>
      </w:pPr>
    </w:p>
    <w:p w14:paraId="7C22A4CF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476"/>
        <w:gridCol w:w="2859"/>
        <w:gridCol w:w="2190"/>
        <w:gridCol w:w="1350"/>
      </w:tblGrid>
      <w:tr w14:paraId="4E605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760B02C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4EBEA4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2FB829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A684A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92DF2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18738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CCE59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4CAC198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资管产品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C5B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民生通惠周周盈资产管理产品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15B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813,581,089.88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7BD648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55.30%</w:t>
            </w:r>
          </w:p>
        </w:tc>
      </w:tr>
      <w:tr w14:paraId="14D1F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6187D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96208A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信托计划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C7D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中粮信托·福临嘉盈1号集合资金信托计划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7C5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479,224,365.90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FD9C60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32.57%</w:t>
            </w:r>
          </w:p>
        </w:tc>
      </w:tr>
      <w:tr w14:paraId="11B90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10356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896255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资管产品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966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民生通惠民汇20号资产管理产品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5DF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90,162,654.38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729CBD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6.13%</w:t>
            </w:r>
          </w:p>
        </w:tc>
      </w:tr>
      <w:tr w14:paraId="7C3F4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A7513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BF31B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金融债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D1E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25农发21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AC6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50,403,520.55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3735B5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3.43%</w:t>
            </w:r>
          </w:p>
        </w:tc>
      </w:tr>
      <w:tr w14:paraId="7419E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2537FE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59AA965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金融债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9A5B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25国开11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9C7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20,095,572.60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5FBA99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1.37%</w:t>
            </w:r>
          </w:p>
        </w:tc>
      </w:tr>
      <w:tr w14:paraId="2AC98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6FDF8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9A0241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金融债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5EB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25农发31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D23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10,046,980.82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D3A2C7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0.68%</w:t>
            </w:r>
          </w:p>
        </w:tc>
      </w:tr>
      <w:tr w14:paraId="1A2A5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8FCC3CB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45E4A0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信托计划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7C2A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华鑫信托·鸿运高照1号集合资金信托计划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ABA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1,001,783.03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C9B3D1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0.07%</w:t>
            </w:r>
          </w:p>
        </w:tc>
      </w:tr>
    </w:tbl>
    <w:p w14:paraId="26B8EA64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76"/>
        <w:gridCol w:w="2829"/>
        <w:gridCol w:w="2250"/>
        <w:gridCol w:w="1335"/>
      </w:tblGrid>
      <w:tr w14:paraId="4DEEE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0C467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6142B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430118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EFA672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160179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2DA2F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D0964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98DFF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金融债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3A30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25农发21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F551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50,403,520.55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6AD26E5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3.42%</w:t>
            </w:r>
          </w:p>
        </w:tc>
      </w:tr>
      <w:tr w14:paraId="5734E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7E399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963B0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2F2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23吴城01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42B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34,998,836.51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BBF07D1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2.38%</w:t>
            </w:r>
          </w:p>
        </w:tc>
      </w:tr>
      <w:tr w14:paraId="31FA3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EC010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6D73B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7C7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G23进贤1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CB8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29,243,229.67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986D9F8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1.99%</w:t>
            </w:r>
          </w:p>
        </w:tc>
      </w:tr>
      <w:tr w14:paraId="70C07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FFD97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4C73B6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F02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24安建01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45C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28,723,413.98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4583D7D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1.95%</w:t>
            </w:r>
          </w:p>
        </w:tc>
      </w:tr>
      <w:tr w14:paraId="6D496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A10E35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94DAD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0AA6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23苏滁02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F8C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28,599,580.45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B39BBA4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1.94%</w:t>
            </w:r>
          </w:p>
        </w:tc>
      </w:tr>
      <w:tr w14:paraId="4B7B7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C382C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1CB97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E7E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24浔新01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D81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28,318,219.03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32EDDCE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1.92%</w:t>
            </w:r>
          </w:p>
        </w:tc>
      </w:tr>
      <w:tr w14:paraId="4C653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5AC14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68ADC9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同业存单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69C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25农业银行CD087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4EA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27,000,704.07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CD0B75F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1.83%</w:t>
            </w:r>
          </w:p>
        </w:tc>
      </w:tr>
      <w:tr w14:paraId="62EE6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979981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F749FB3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同业存单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B7A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浦发银行CD312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1376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26,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,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9D55AAD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</w:tr>
      <w:tr w14:paraId="7CC21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75A939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02259F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同业存单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5402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25光大银行CD263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905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26,672,671.53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70F5B0E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1.81%</w:t>
            </w:r>
          </w:p>
        </w:tc>
      </w:tr>
      <w:tr w14:paraId="45D83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4795D4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428073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同业存单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5F1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25光大银行CD264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19E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26,671,487.08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17DCE89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1.81%</w:t>
            </w:r>
          </w:p>
        </w:tc>
      </w:tr>
    </w:tbl>
    <w:p w14:paraId="2A3CC0BB"/>
    <w:p w14:paraId="1B55D9AD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3DA91124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162B0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3474C5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7289830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77EE9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5460D2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0DB4B147">
            <w:pPr>
              <w:widowControl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lang w:val="en-US" w:eastAsia="zh-CN"/>
              </w:rPr>
              <w:t>B2449721</w:t>
            </w:r>
          </w:p>
        </w:tc>
      </w:tr>
      <w:tr w14:paraId="325D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69F18F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12E2F20D">
            <w:pPr>
              <w:widowControl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lang w:val="en-US" w:eastAsia="zh-CN"/>
              </w:rPr>
              <w:t>00000058095</w:t>
            </w:r>
          </w:p>
        </w:tc>
      </w:tr>
      <w:tr w14:paraId="7C106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0C4AB9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21CDA147">
            <w:pPr>
              <w:widowControl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lang w:val="en-US" w:eastAsia="zh-CN"/>
              </w:rPr>
              <w:t>B886644479</w:t>
            </w:r>
          </w:p>
        </w:tc>
      </w:tr>
      <w:tr w14:paraId="05A00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AF2D79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5D7FCB1E">
            <w:pPr>
              <w:widowControl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lang w:val="en-US" w:eastAsia="zh-CN"/>
              </w:rPr>
              <w:t>0899438815</w:t>
            </w:r>
          </w:p>
        </w:tc>
      </w:tr>
    </w:tbl>
    <w:p w14:paraId="02792424">
      <w:pPr>
        <w:jc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招商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3E15AAAB">
      <w:pPr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object>
          <v:shape id="_x0000_i1026" o:spt="75" type="#_x0000_t75" style="height:40.25pt;width:414.35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6" DrawAspect="Content" ObjectID="_1468075725" r:id="rId4">
            <o:LockedField>false</o:LockedField>
          </o:OLEObject>
        </w:object>
      </w:r>
    </w:p>
    <w:p w14:paraId="638D5CF1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3CB3144C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3CAA1A7B">
      <w:pPr>
        <w:jc w:val="center"/>
        <w:rPr>
          <w:szCs w:val="21"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6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1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19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4ZjkwYWNlZmE1OTAyZGY3ODg4ZTc0ODNjYjA1ZGUifQ=="/>
  </w:docVars>
  <w:rsids>
    <w:rsidRoot w:val="00000000"/>
    <w:rsid w:val="013A7B3E"/>
    <w:rsid w:val="024D1CEC"/>
    <w:rsid w:val="05422F5F"/>
    <w:rsid w:val="05D35C95"/>
    <w:rsid w:val="06971A0B"/>
    <w:rsid w:val="082854F3"/>
    <w:rsid w:val="09BA64EC"/>
    <w:rsid w:val="0B0F2CEE"/>
    <w:rsid w:val="0C1C24B5"/>
    <w:rsid w:val="0C72611A"/>
    <w:rsid w:val="0E4137B5"/>
    <w:rsid w:val="11653F6A"/>
    <w:rsid w:val="160B4128"/>
    <w:rsid w:val="18885F41"/>
    <w:rsid w:val="1A805517"/>
    <w:rsid w:val="1D2D4F6F"/>
    <w:rsid w:val="1DA660A2"/>
    <w:rsid w:val="1EE9607A"/>
    <w:rsid w:val="20F10F57"/>
    <w:rsid w:val="229138A9"/>
    <w:rsid w:val="261873AD"/>
    <w:rsid w:val="26B41F70"/>
    <w:rsid w:val="27B8643F"/>
    <w:rsid w:val="28E97D31"/>
    <w:rsid w:val="2A7610A2"/>
    <w:rsid w:val="31415A44"/>
    <w:rsid w:val="31D26DBA"/>
    <w:rsid w:val="3335354B"/>
    <w:rsid w:val="3359251C"/>
    <w:rsid w:val="337E5E64"/>
    <w:rsid w:val="348F0812"/>
    <w:rsid w:val="350445D1"/>
    <w:rsid w:val="39B12CEE"/>
    <w:rsid w:val="3D0E2CF1"/>
    <w:rsid w:val="3D4A5851"/>
    <w:rsid w:val="3E773871"/>
    <w:rsid w:val="3EB6242B"/>
    <w:rsid w:val="41DD7387"/>
    <w:rsid w:val="45223B1E"/>
    <w:rsid w:val="478B0ADD"/>
    <w:rsid w:val="4BBF66E7"/>
    <w:rsid w:val="553C2B3F"/>
    <w:rsid w:val="55B62D16"/>
    <w:rsid w:val="592B2A6C"/>
    <w:rsid w:val="5B937C81"/>
    <w:rsid w:val="608F6852"/>
    <w:rsid w:val="60B92AA1"/>
    <w:rsid w:val="60EA51F0"/>
    <w:rsid w:val="6A213D55"/>
    <w:rsid w:val="6A6E6EB4"/>
    <w:rsid w:val="6AAE05A8"/>
    <w:rsid w:val="6B4377D2"/>
    <w:rsid w:val="6B8A1C13"/>
    <w:rsid w:val="7370462E"/>
    <w:rsid w:val="74573C49"/>
    <w:rsid w:val="749A5B69"/>
    <w:rsid w:val="757D75B0"/>
    <w:rsid w:val="767060BA"/>
    <w:rsid w:val="79901625"/>
    <w:rsid w:val="7AEB244B"/>
    <w:rsid w:val="7E03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802</Words>
  <Characters>1269</Characters>
  <Lines>1</Lines>
  <Paragraphs>1</Paragraphs>
  <TotalTime>20</TotalTime>
  <ScaleCrop>false</ScaleCrop>
  <LinksUpToDate>false</LinksUpToDate>
  <CharactersWithSpaces>1390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2113-01-01T00:00:00Z</cp:lastPrinted>
  <dcterms:modified xsi:type="dcterms:W3CDTF">2026-01-20T07:42:52Z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2052-12.1.0.23542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