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仿宋" w:hAnsi="仿宋" w:eastAsia="仿宋"/>
          <w:b/>
          <w:bCs/>
          <w:sz w:val="32"/>
          <w:szCs w:val="32"/>
        </w:rPr>
      </w:pPr>
      <w:r>
        <w:rPr>
          <w:rFonts w:hint="eastAsia" w:ascii="仿宋" w:hAnsi="仿宋" w:eastAsia="仿宋"/>
          <w:b/>
          <w:bCs/>
          <w:sz w:val="32"/>
          <w:szCs w:val="32"/>
        </w:rPr>
        <w:t>关于调整渤银理财理财有术系列晨夕盈16号固收日开理财产品</w:t>
      </w:r>
      <w:r>
        <w:rPr>
          <w:rFonts w:hint="eastAsia" w:ascii="仿宋" w:hAnsi="仿宋" w:eastAsia="仿宋"/>
          <w:b/>
          <w:bCs/>
          <w:sz w:val="32"/>
          <w:szCs w:val="32"/>
          <w:lang w:val="en-US" w:eastAsia="zh-CN"/>
        </w:rPr>
        <w:t>C类份额</w:t>
      </w:r>
      <w:r>
        <w:rPr>
          <w:rFonts w:hint="eastAsia" w:ascii="仿宋" w:hAnsi="仿宋" w:eastAsia="仿宋"/>
          <w:b/>
          <w:bCs/>
          <w:sz w:val="32"/>
          <w:szCs w:val="32"/>
        </w:rPr>
        <w:t>认</w:t>
      </w:r>
      <w:r>
        <w:rPr>
          <w:rFonts w:hint="eastAsia" w:ascii="仿宋" w:hAnsi="仿宋" w:eastAsia="仿宋"/>
          <w:b/>
          <w:bCs/>
          <w:sz w:val="32"/>
          <w:szCs w:val="32"/>
          <w:lang w:val="en-US" w:eastAsia="zh-CN"/>
        </w:rPr>
        <w:t>购</w:t>
      </w:r>
      <w:r>
        <w:rPr>
          <w:rFonts w:hint="eastAsia" w:ascii="仿宋" w:hAnsi="仿宋" w:eastAsia="仿宋"/>
          <w:b/>
          <w:bCs/>
          <w:sz w:val="32"/>
          <w:szCs w:val="32"/>
        </w:rPr>
        <w:t>/申购</w:t>
      </w:r>
      <w:r>
        <w:rPr>
          <w:rFonts w:hint="eastAsia" w:ascii="仿宋" w:hAnsi="仿宋" w:eastAsia="仿宋"/>
          <w:b/>
          <w:bCs/>
          <w:sz w:val="32"/>
          <w:szCs w:val="32"/>
          <w:lang w:val="en-US" w:eastAsia="zh-CN"/>
        </w:rPr>
        <w:t>递增单位</w:t>
      </w:r>
      <w:r>
        <w:rPr>
          <w:rFonts w:hint="eastAsia" w:ascii="仿宋" w:hAnsi="仿宋" w:eastAsia="仿宋"/>
          <w:b/>
          <w:bCs/>
          <w:sz w:val="32"/>
          <w:szCs w:val="32"/>
        </w:rPr>
        <w:t>的公告</w:t>
      </w:r>
    </w:p>
    <w:p>
      <w:pPr>
        <w:rPr>
          <w:rFonts w:hint="eastAsia" w:ascii="仿宋" w:hAnsi="仿宋" w:eastAsia="仿宋"/>
          <w:sz w:val="22"/>
        </w:rPr>
      </w:pPr>
    </w:p>
    <w:p>
      <w:pPr>
        <w:rPr>
          <w:rFonts w:hint="eastAsia" w:ascii="仿宋" w:hAnsi="仿宋" w:eastAsia="仿宋"/>
          <w:sz w:val="28"/>
          <w:szCs w:val="28"/>
        </w:rPr>
      </w:pPr>
      <w:r>
        <w:rPr>
          <w:rFonts w:hint="eastAsia" w:ascii="仿宋" w:hAnsi="仿宋" w:eastAsia="仿宋"/>
          <w:sz w:val="28"/>
          <w:szCs w:val="28"/>
        </w:rPr>
        <w:t>尊敬的投资者</w:t>
      </w:r>
      <w:r>
        <w:rPr>
          <w:rFonts w:ascii="仿宋" w:hAnsi="仿宋" w:eastAsia="仿宋"/>
          <w:sz w:val="28"/>
          <w:szCs w:val="28"/>
        </w:rPr>
        <w:t>:</w:t>
      </w:r>
    </w:p>
    <w:p>
      <w:pPr>
        <w:ind w:firstLine="560" w:firstLineChars="200"/>
        <w:rPr>
          <w:rFonts w:hint="eastAsia" w:ascii="仿宋" w:hAnsi="仿宋" w:eastAsia="仿宋"/>
          <w:sz w:val="28"/>
          <w:szCs w:val="28"/>
        </w:rPr>
      </w:pPr>
      <w:r>
        <w:rPr>
          <w:rFonts w:hint="eastAsia" w:ascii="仿宋" w:hAnsi="仿宋" w:eastAsia="仿宋"/>
          <w:sz w:val="28"/>
          <w:szCs w:val="28"/>
        </w:rPr>
        <w:t>为优化产品管理，经渤银理财有限责任公司（以下简称“渤银理财”）研究决定，自20</w:t>
      </w:r>
      <w:r>
        <w:rPr>
          <w:rFonts w:hint="eastAsia" w:ascii="仿宋" w:hAnsi="仿宋" w:eastAsia="仿宋"/>
          <w:sz w:val="28"/>
          <w:szCs w:val="28"/>
          <w:lang w:val="en-US" w:eastAsia="zh-CN"/>
        </w:rPr>
        <w:t>25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26</w:t>
      </w:r>
      <w:bookmarkStart w:id="0" w:name="_GoBack"/>
      <w:bookmarkEnd w:id="0"/>
      <w:r>
        <w:rPr>
          <w:rFonts w:hint="eastAsia" w:ascii="仿宋" w:hAnsi="仿宋" w:eastAsia="仿宋"/>
          <w:sz w:val="28"/>
          <w:szCs w:val="28"/>
        </w:rPr>
        <w:t>日起对渤银理财理财有术系列晨夕盈16号固收日开理财产品C类份额（以下简称“本理财产品”）认</w:t>
      </w:r>
      <w:r>
        <w:rPr>
          <w:rFonts w:hint="eastAsia" w:ascii="仿宋" w:hAnsi="仿宋" w:eastAsia="仿宋"/>
          <w:sz w:val="28"/>
          <w:szCs w:val="28"/>
          <w:lang w:val="en-US" w:eastAsia="zh-CN"/>
        </w:rPr>
        <w:t>购</w:t>
      </w:r>
      <w:r>
        <w:rPr>
          <w:rFonts w:hint="eastAsia" w:ascii="仿宋" w:hAnsi="仿宋" w:eastAsia="仿宋"/>
          <w:sz w:val="28"/>
          <w:szCs w:val="28"/>
        </w:rPr>
        <w:t>/申购递增单位进行调整，具体如下：</w:t>
      </w:r>
    </w:p>
    <w:tbl>
      <w:tblPr>
        <w:tblStyle w:val="7"/>
        <w:tblW w:w="49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1104"/>
        <w:gridCol w:w="927"/>
        <w:gridCol w:w="1620"/>
        <w:gridCol w:w="1612"/>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Align w:val="center"/>
          </w:tcPr>
          <w:p>
            <w:pPr>
              <w:jc w:val="center"/>
              <w:rPr>
                <w:rFonts w:hint="eastAsia" w:ascii="仿宋" w:hAnsi="仿宋" w:eastAsia="仿宋"/>
                <w:sz w:val="22"/>
              </w:rPr>
            </w:pPr>
            <w:r>
              <w:rPr>
                <w:rFonts w:hint="eastAsia" w:ascii="仿宋" w:hAnsi="仿宋" w:eastAsia="仿宋"/>
                <w:sz w:val="22"/>
              </w:rPr>
              <w:t>产品名称</w:t>
            </w:r>
          </w:p>
        </w:tc>
        <w:tc>
          <w:tcPr>
            <w:tcW w:w="656" w:type="pct"/>
            <w:vAlign w:val="center"/>
          </w:tcPr>
          <w:p>
            <w:pPr>
              <w:jc w:val="center"/>
              <w:rPr>
                <w:rFonts w:hint="eastAsia" w:ascii="仿宋" w:hAnsi="仿宋" w:eastAsia="仿宋"/>
                <w:sz w:val="22"/>
              </w:rPr>
            </w:pPr>
            <w:r>
              <w:rPr>
                <w:rFonts w:hint="eastAsia" w:ascii="仿宋" w:hAnsi="仿宋" w:eastAsia="仿宋"/>
                <w:sz w:val="22"/>
              </w:rPr>
              <w:t>理财信息登记系统编码</w:t>
            </w:r>
          </w:p>
        </w:tc>
        <w:tc>
          <w:tcPr>
            <w:tcW w:w="551" w:type="pct"/>
            <w:vAlign w:val="center"/>
          </w:tcPr>
          <w:p>
            <w:pPr>
              <w:jc w:val="center"/>
              <w:rPr>
                <w:rFonts w:hint="eastAsia" w:ascii="仿宋" w:hAnsi="仿宋" w:eastAsia="仿宋"/>
                <w:sz w:val="22"/>
              </w:rPr>
            </w:pPr>
            <w:r>
              <w:rPr>
                <w:rFonts w:hint="eastAsia" w:ascii="仿宋" w:hAnsi="仿宋" w:eastAsia="仿宋"/>
                <w:sz w:val="22"/>
              </w:rPr>
              <w:t>销售代码</w:t>
            </w:r>
          </w:p>
        </w:tc>
        <w:tc>
          <w:tcPr>
            <w:tcW w:w="963" w:type="pct"/>
            <w:vAlign w:val="center"/>
          </w:tcPr>
          <w:p>
            <w:pPr>
              <w:jc w:val="center"/>
              <w:rPr>
                <w:rFonts w:hint="eastAsia" w:ascii="仿宋" w:hAnsi="仿宋" w:eastAsia="仿宋"/>
                <w:sz w:val="22"/>
              </w:rPr>
            </w:pPr>
            <w:r>
              <w:rPr>
                <w:rFonts w:hint="eastAsia" w:ascii="仿宋" w:hAnsi="仿宋" w:eastAsia="仿宋"/>
                <w:sz w:val="22"/>
              </w:rPr>
              <w:t>调整前</w:t>
            </w:r>
          </w:p>
        </w:tc>
        <w:tc>
          <w:tcPr>
            <w:tcW w:w="959" w:type="pct"/>
            <w:vAlign w:val="center"/>
          </w:tcPr>
          <w:p>
            <w:pPr>
              <w:jc w:val="center"/>
              <w:rPr>
                <w:rFonts w:hint="eastAsia" w:ascii="仿宋" w:hAnsi="仿宋" w:eastAsia="仿宋"/>
                <w:sz w:val="22"/>
              </w:rPr>
            </w:pPr>
            <w:r>
              <w:rPr>
                <w:rFonts w:hint="eastAsia" w:ascii="仿宋" w:hAnsi="仿宋" w:eastAsia="仿宋"/>
                <w:sz w:val="22"/>
              </w:rPr>
              <w:t>调整后</w:t>
            </w:r>
          </w:p>
        </w:tc>
        <w:tc>
          <w:tcPr>
            <w:tcW w:w="929" w:type="pct"/>
            <w:vAlign w:val="center"/>
          </w:tcPr>
          <w:p>
            <w:pPr>
              <w:jc w:val="center"/>
              <w:rPr>
                <w:rFonts w:hint="eastAsia" w:ascii="仿宋" w:hAnsi="仿宋" w:eastAsia="仿宋"/>
                <w:sz w:val="22"/>
              </w:rPr>
            </w:pPr>
            <w:r>
              <w:rPr>
                <w:rFonts w:hint="eastAsia" w:ascii="仿宋" w:hAnsi="仿宋" w:eastAsia="仿宋"/>
                <w:sz w:val="22"/>
              </w:rPr>
              <w:t>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Align w:val="center"/>
          </w:tcPr>
          <w:p>
            <w:pPr>
              <w:jc w:val="center"/>
              <w:rPr>
                <w:rFonts w:hint="eastAsia" w:ascii="仿宋" w:hAnsi="仿宋" w:eastAsia="仿宋"/>
                <w:sz w:val="22"/>
              </w:rPr>
            </w:pPr>
            <w:r>
              <w:rPr>
                <w:rFonts w:hint="eastAsia" w:ascii="仿宋" w:hAnsi="仿宋" w:eastAsia="仿宋"/>
                <w:sz w:val="22"/>
              </w:rPr>
              <w:t>渤银理财理财有术系列晨夕盈16号固收日开理财产品</w:t>
            </w:r>
          </w:p>
        </w:tc>
        <w:tc>
          <w:tcPr>
            <w:tcW w:w="656" w:type="pct"/>
            <w:vAlign w:val="center"/>
          </w:tcPr>
          <w:p>
            <w:pPr>
              <w:jc w:val="center"/>
              <w:rPr>
                <w:rFonts w:hint="eastAsia" w:ascii="仿宋" w:hAnsi="仿宋" w:eastAsia="仿宋"/>
                <w:sz w:val="22"/>
              </w:rPr>
            </w:pPr>
            <w:r>
              <w:rPr>
                <w:rFonts w:hint="eastAsia" w:ascii="仿宋" w:hAnsi="仿宋" w:eastAsia="仿宋"/>
                <w:sz w:val="22"/>
              </w:rPr>
              <w:t>Z7008425000166</w:t>
            </w:r>
          </w:p>
        </w:tc>
        <w:tc>
          <w:tcPr>
            <w:tcW w:w="551" w:type="pct"/>
            <w:vAlign w:val="center"/>
          </w:tcPr>
          <w:p>
            <w:pPr>
              <w:jc w:val="center"/>
              <w:rPr>
                <w:rFonts w:hint="eastAsia" w:ascii="仿宋" w:hAnsi="仿宋" w:eastAsia="仿宋"/>
                <w:sz w:val="22"/>
              </w:rPr>
            </w:pPr>
            <w:r>
              <w:rPr>
                <w:rFonts w:hint="eastAsia" w:ascii="仿宋" w:hAnsi="仿宋" w:eastAsia="仿宋"/>
                <w:sz w:val="22"/>
              </w:rPr>
              <w:t>LCYSRK16C</w:t>
            </w:r>
          </w:p>
        </w:tc>
        <w:tc>
          <w:tcPr>
            <w:tcW w:w="963" w:type="pct"/>
            <w:vAlign w:val="center"/>
          </w:tcPr>
          <w:p>
            <w:pPr>
              <w:jc w:val="both"/>
              <w:rPr>
                <w:rFonts w:hint="eastAsia" w:ascii="仿宋" w:hAnsi="仿宋" w:eastAsia="仿宋"/>
                <w:sz w:val="22"/>
              </w:rPr>
            </w:pPr>
            <w:r>
              <w:rPr>
                <w:rFonts w:hint="eastAsia" w:ascii="仿宋" w:hAnsi="仿宋" w:eastAsia="仿宋"/>
                <w:sz w:val="22"/>
              </w:rPr>
              <w:t>认购/申购起点为人民币【1元】，超过认购/申购起点部分以人民币【1元】整数倍递增。追加认购/申购起点金额为【1元】；超出部分，需以【1元】整数倍递增。</w:t>
            </w:r>
          </w:p>
        </w:tc>
        <w:tc>
          <w:tcPr>
            <w:tcW w:w="959" w:type="pct"/>
            <w:vAlign w:val="center"/>
          </w:tcPr>
          <w:p>
            <w:pPr>
              <w:jc w:val="both"/>
              <w:rPr>
                <w:rFonts w:hint="eastAsia" w:ascii="仿宋" w:hAnsi="仿宋" w:eastAsia="仿宋"/>
                <w:sz w:val="22"/>
              </w:rPr>
            </w:pPr>
            <w:r>
              <w:rPr>
                <w:rFonts w:hint="eastAsia" w:ascii="仿宋" w:hAnsi="仿宋" w:eastAsia="仿宋"/>
                <w:sz w:val="22"/>
              </w:rPr>
              <w:t>认购/申购起点为人民币【1元】，超过认购/申购起点部分以人民币【</w:t>
            </w:r>
            <w:r>
              <w:rPr>
                <w:rFonts w:hint="eastAsia" w:ascii="仿宋" w:hAnsi="仿宋" w:eastAsia="仿宋"/>
                <w:sz w:val="22"/>
                <w:lang w:val="en-US" w:eastAsia="zh-CN"/>
              </w:rPr>
              <w:t>0.0</w:t>
            </w:r>
            <w:r>
              <w:rPr>
                <w:rFonts w:hint="eastAsia" w:ascii="仿宋" w:hAnsi="仿宋" w:eastAsia="仿宋"/>
                <w:sz w:val="22"/>
              </w:rPr>
              <w:t>1元】整数倍递增。追加认购/申购起点金额为【1元】；超出部分，需以【</w:t>
            </w:r>
            <w:r>
              <w:rPr>
                <w:rFonts w:hint="eastAsia" w:ascii="仿宋" w:hAnsi="仿宋" w:eastAsia="仿宋"/>
                <w:sz w:val="22"/>
                <w:lang w:val="en-US" w:eastAsia="zh-CN"/>
              </w:rPr>
              <w:t>0.0</w:t>
            </w:r>
            <w:r>
              <w:rPr>
                <w:rFonts w:hint="eastAsia" w:ascii="仿宋" w:hAnsi="仿宋" w:eastAsia="仿宋"/>
                <w:sz w:val="22"/>
              </w:rPr>
              <w:t>1元】整数倍递增。</w:t>
            </w:r>
          </w:p>
        </w:tc>
        <w:tc>
          <w:tcPr>
            <w:tcW w:w="929" w:type="pct"/>
            <w:vAlign w:val="center"/>
          </w:tcPr>
          <w:p>
            <w:pPr>
              <w:jc w:val="center"/>
              <w:rPr>
                <w:rFonts w:hint="default" w:ascii="仿宋" w:hAnsi="仿宋" w:eastAsia="仿宋"/>
                <w:sz w:val="22"/>
                <w:lang w:val="en-US" w:eastAsia="zh-CN"/>
              </w:rPr>
            </w:pPr>
            <w:r>
              <w:rPr>
                <w:rFonts w:hint="eastAsia" w:ascii="仿宋" w:hAnsi="仿宋" w:eastAsia="仿宋"/>
                <w:sz w:val="22"/>
                <w:lang w:val="en-US" w:eastAsia="zh-CN"/>
              </w:rPr>
              <w:t>2025年12月26日（含）</w:t>
            </w:r>
          </w:p>
        </w:tc>
      </w:tr>
    </w:tbl>
    <w:p>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根据理财产品说明书约定，渤银理财有权提前2个工作日向投资者发出通知，在法律法规、监管规定允许的范围内以符合监管规定的方式对理财产品说明书条款进行修订，</w:t>
      </w:r>
      <w:r>
        <w:rPr>
          <w:rFonts w:hint="eastAsia" w:ascii="仿宋" w:hAnsi="仿宋" w:eastAsia="仿宋"/>
          <w:sz w:val="28"/>
          <w:szCs w:val="28"/>
        </w:rPr>
        <w:t>并同步修订理财产品销售文件相关内容。</w:t>
      </w:r>
    </w:p>
    <w:p>
      <w:pPr>
        <w:ind w:firstLine="560" w:firstLineChars="200"/>
        <w:rPr>
          <w:rFonts w:hint="eastAsia" w:ascii="仿宋" w:hAnsi="仿宋" w:eastAsia="仿宋"/>
          <w:sz w:val="28"/>
          <w:szCs w:val="28"/>
        </w:rPr>
      </w:pPr>
      <w:r>
        <w:rPr>
          <w:rFonts w:hint="eastAsia" w:ascii="仿宋" w:hAnsi="仿宋" w:eastAsia="仿宋"/>
          <w:sz w:val="28"/>
          <w:szCs w:val="28"/>
        </w:rPr>
        <w:t>感谢您一直以来对渤银理财的信赖与支持！敬请继续关注渤银理财在售的产品。</w:t>
      </w:r>
    </w:p>
    <w:p>
      <w:pPr>
        <w:ind w:firstLine="560" w:firstLineChars="200"/>
        <w:rPr>
          <w:rFonts w:hint="eastAsia" w:ascii="仿宋" w:hAnsi="仿宋" w:eastAsia="仿宋"/>
          <w:sz w:val="28"/>
          <w:szCs w:val="28"/>
        </w:rPr>
      </w:pPr>
      <w:r>
        <w:rPr>
          <w:rFonts w:hint="eastAsia" w:ascii="仿宋" w:hAnsi="仿宋" w:eastAsia="仿宋"/>
          <w:sz w:val="28"/>
          <w:szCs w:val="28"/>
        </w:rPr>
        <w:t>特此公告。</w:t>
      </w:r>
    </w:p>
    <w:p>
      <w:pPr>
        <w:ind w:firstLine="560" w:firstLineChars="200"/>
        <w:jc w:val="right"/>
        <w:rPr>
          <w:rFonts w:hint="eastAsia" w:ascii="仿宋" w:hAnsi="仿宋" w:eastAsia="仿宋"/>
          <w:sz w:val="28"/>
          <w:szCs w:val="28"/>
        </w:rPr>
      </w:pPr>
      <w:r>
        <w:rPr>
          <w:rFonts w:hint="eastAsia" w:ascii="仿宋" w:hAnsi="仿宋" w:eastAsia="仿宋"/>
          <w:sz w:val="28"/>
          <w:szCs w:val="28"/>
        </w:rPr>
        <w:t>渤银理财有限责任公司</w:t>
      </w:r>
    </w:p>
    <w:p>
      <w:pPr>
        <w:ind w:firstLine="560" w:firstLineChars="200"/>
        <w:jc w:val="center"/>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ascii="仿宋" w:hAnsi="仿宋" w:eastAsia="仿宋"/>
          <w:sz w:val="28"/>
          <w:szCs w:val="28"/>
        </w:rPr>
        <w:t>202</w:t>
      </w:r>
      <w:r>
        <w:rPr>
          <w:rFonts w:hint="eastAsia" w:ascii="仿宋" w:hAnsi="仿宋" w:eastAsia="仿宋"/>
          <w:sz w:val="28"/>
          <w:szCs w:val="28"/>
          <w:lang w:val="en-US" w:eastAsia="zh-CN"/>
        </w:rPr>
        <w:t>5</w:t>
      </w:r>
      <w:r>
        <w:rPr>
          <w:rFonts w:ascii="仿宋" w:hAnsi="仿宋" w:eastAsia="仿宋"/>
          <w:sz w:val="28"/>
          <w:szCs w:val="28"/>
        </w:rPr>
        <w:t>年</w:t>
      </w:r>
      <w:r>
        <w:rPr>
          <w:rFonts w:hint="eastAsia" w:ascii="仿宋" w:hAnsi="仿宋" w:eastAsia="仿宋"/>
          <w:sz w:val="28"/>
          <w:szCs w:val="28"/>
          <w:lang w:val="en-US" w:eastAsia="zh-CN"/>
        </w:rPr>
        <w:t>12</w:t>
      </w:r>
      <w:r>
        <w:rPr>
          <w:rFonts w:ascii="仿宋" w:hAnsi="仿宋" w:eastAsia="仿宋"/>
          <w:sz w:val="28"/>
          <w:szCs w:val="28"/>
        </w:rPr>
        <w:t>月</w:t>
      </w:r>
      <w:r>
        <w:rPr>
          <w:rFonts w:hint="eastAsia" w:ascii="仿宋" w:hAnsi="仿宋" w:eastAsia="仿宋"/>
          <w:sz w:val="28"/>
          <w:szCs w:val="28"/>
          <w:lang w:val="en-US" w:eastAsia="zh-CN"/>
        </w:rPr>
        <w:t>23</w:t>
      </w:r>
      <w:r>
        <w:rPr>
          <w:rFonts w:ascii="仿宋" w:hAnsi="仿宋" w:eastAsia="仿宋"/>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zZGUxMDkzMzhiYmU0NDIzMjk5MTg2OTc3N2RlMWMifQ=="/>
  </w:docVars>
  <w:rsids>
    <w:rsidRoot w:val="0005423A"/>
    <w:rsid w:val="0005423A"/>
    <w:rsid w:val="002324D4"/>
    <w:rsid w:val="00485D8A"/>
    <w:rsid w:val="006A3C92"/>
    <w:rsid w:val="00E34462"/>
    <w:rsid w:val="00E3652E"/>
    <w:rsid w:val="019A023D"/>
    <w:rsid w:val="04BD4AAA"/>
    <w:rsid w:val="04DC281C"/>
    <w:rsid w:val="0A994BD6"/>
    <w:rsid w:val="15C60FFB"/>
    <w:rsid w:val="180C0C15"/>
    <w:rsid w:val="18D0083D"/>
    <w:rsid w:val="1A2650BF"/>
    <w:rsid w:val="1F7935C8"/>
    <w:rsid w:val="1FB37EBC"/>
    <w:rsid w:val="26422851"/>
    <w:rsid w:val="28A74FBC"/>
    <w:rsid w:val="2A77537F"/>
    <w:rsid w:val="2AA96C7A"/>
    <w:rsid w:val="2B384582"/>
    <w:rsid w:val="2F8B00AE"/>
    <w:rsid w:val="30A62D11"/>
    <w:rsid w:val="341D0BFB"/>
    <w:rsid w:val="38113FA3"/>
    <w:rsid w:val="39043059"/>
    <w:rsid w:val="3AC66C4B"/>
    <w:rsid w:val="3D093C7D"/>
    <w:rsid w:val="40753486"/>
    <w:rsid w:val="4E8432DB"/>
    <w:rsid w:val="509C6575"/>
    <w:rsid w:val="52F436CB"/>
    <w:rsid w:val="53AA49E1"/>
    <w:rsid w:val="543341CD"/>
    <w:rsid w:val="54EE16E4"/>
    <w:rsid w:val="574C786A"/>
    <w:rsid w:val="623314CA"/>
    <w:rsid w:val="635F6431"/>
    <w:rsid w:val="639C5C8D"/>
    <w:rsid w:val="692F5829"/>
    <w:rsid w:val="6B6760AA"/>
    <w:rsid w:val="6F9D63DA"/>
    <w:rsid w:val="6FB4266B"/>
    <w:rsid w:val="74D265BD"/>
    <w:rsid w:val="7A54257A"/>
    <w:rsid w:val="7CB663FC"/>
    <w:rsid w:val="7DAE2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12"/>
    <w:semiHidden/>
    <w:unhideWhenUsed/>
    <w:qFormat/>
    <w:uiPriority w:val="99"/>
    <w:rPr>
      <w:b/>
      <w:bCs/>
    </w:rPr>
  </w:style>
  <w:style w:type="table" w:styleId="7">
    <w:name w:val="Table Grid"/>
    <w:basedOn w:val="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paragraph" w:customStyle="1" w:styleId="10">
    <w:name w:val="Revision"/>
    <w:hidden/>
    <w:unhideWhenUsed/>
    <w:qFormat/>
    <w:uiPriority w:val="99"/>
    <w:rPr>
      <w:rFonts w:ascii="等线" w:hAnsi="等线" w:eastAsia="等线" w:cs="黑体"/>
      <w:kern w:val="2"/>
      <w:sz w:val="21"/>
      <w:szCs w:val="22"/>
      <w:lang w:val="en-US" w:eastAsia="zh-CN" w:bidi="ar-SA"/>
    </w:rPr>
  </w:style>
  <w:style w:type="character" w:customStyle="1" w:styleId="11">
    <w:name w:val="批注文字 字符"/>
    <w:basedOn w:val="8"/>
    <w:link w:val="2"/>
    <w:qFormat/>
    <w:uiPriority w:val="99"/>
    <w:rPr>
      <w:rFonts w:ascii="等线" w:hAnsi="等线" w:eastAsia="等线" w:cs="黑体"/>
      <w:kern w:val="2"/>
      <w:sz w:val="21"/>
      <w:szCs w:val="22"/>
    </w:rPr>
  </w:style>
  <w:style w:type="character" w:customStyle="1" w:styleId="12">
    <w:name w:val="批注主题 字符"/>
    <w:basedOn w:val="11"/>
    <w:link w:val="5"/>
    <w:semiHidden/>
    <w:qFormat/>
    <w:uiPriority w:val="99"/>
    <w:rPr>
      <w:rFonts w:ascii="等线" w:hAnsi="等线" w:eastAsia="等线" w:cs="黑体"/>
      <w:b/>
      <w:bCs/>
      <w:kern w:val="2"/>
      <w:sz w:val="21"/>
      <w:szCs w:val="22"/>
    </w:rPr>
  </w:style>
  <w:style w:type="character" w:customStyle="1" w:styleId="13">
    <w:name w:val="页眉 字符"/>
    <w:basedOn w:val="8"/>
    <w:link w:val="4"/>
    <w:qFormat/>
    <w:uiPriority w:val="99"/>
    <w:rPr>
      <w:rFonts w:ascii="等线" w:hAnsi="等线" w:eastAsia="等线" w:cs="黑体"/>
      <w:kern w:val="2"/>
      <w:sz w:val="18"/>
      <w:szCs w:val="18"/>
    </w:rPr>
  </w:style>
  <w:style w:type="character" w:customStyle="1" w:styleId="14">
    <w:name w:val="页脚 字符"/>
    <w:basedOn w:val="8"/>
    <w:link w:val="3"/>
    <w:qFormat/>
    <w:uiPriority w:val="99"/>
    <w:rPr>
      <w:rFonts w:ascii="等线" w:hAnsi="等线" w:eastAsia="等线" w:cs="黑体"/>
      <w:kern w:val="2"/>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Words>
  <Characters>456</Characters>
  <Lines>3</Lines>
  <Paragraphs>1</Paragraphs>
  <TotalTime>0</TotalTime>
  <ScaleCrop>false</ScaleCrop>
  <LinksUpToDate>false</LinksUpToDate>
  <CharactersWithSpaces>534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2023-02-13T14:33:00Z</dcterms:created>
  <cp:lastModifiedBy>ym.ren</cp:lastModifiedBy>
  <dcterms:modified xsi:type="dcterms:W3CDTF">2025-12-23T03:38:25Z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0F6F88501A4743C096EF1E75E7325D32_12</vt:lpwstr>
  </property>
</Properties>
</file>