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3840" w:type="dxa"/>
        <w:tblInd w:w="-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"/>
        <w:gridCol w:w="800"/>
        <w:gridCol w:w="1800"/>
        <w:gridCol w:w="200"/>
        <w:gridCol w:w="2600"/>
        <w:gridCol w:w="600"/>
        <w:gridCol w:w="440"/>
        <w:gridCol w:w="1560"/>
        <w:gridCol w:w="2000"/>
        <w:gridCol w:w="2000"/>
        <w:gridCol w:w="40"/>
        <w:gridCol w:w="760"/>
        <w:gridCol w:w="1000"/>
      </w:tblGrid>
      <w:tr w14:paraId="278D90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exact"/>
        </w:trPr>
        <w:tc>
          <w:tcPr>
            <w:tcW w:w="13840" w:type="dxa"/>
            <w:gridSpan w:val="13"/>
            <w:shd w:val="clear" w:color="auto" w:fill="FF333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7"/>
              <w:tblW w:w="0" w:type="auto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600"/>
              <w:gridCol w:w="4000"/>
              <w:gridCol w:w="1200"/>
              <w:gridCol w:w="7400"/>
              <w:gridCol w:w="1400"/>
            </w:tblGrid>
            <w:tr w14:paraId="72E85741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400" w:hRule="exact"/>
              </w:trPr>
              <w:tc>
                <w:tcPr>
                  <w:tcW w:w="600" w:type="dxa"/>
                </w:tcPr>
                <w:p w14:paraId="0F61D8A9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  <w:bookmarkStart w:id="0" w:name="JR_PAGE_ANCHOR_0_1"/>
                  <w:bookmarkEnd w:id="0"/>
                </w:p>
              </w:tc>
              <w:tc>
                <w:tcPr>
                  <w:tcW w:w="4000" w:type="dxa"/>
                </w:tcPr>
                <w:p w14:paraId="2EDB8272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1200" w:type="dxa"/>
                </w:tcPr>
                <w:p w14:paraId="45A19985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7400" w:type="dxa"/>
                </w:tcPr>
                <w:p w14:paraId="6030334D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1400" w:type="dxa"/>
                </w:tcPr>
                <w:p w14:paraId="367BAE63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 w14:paraId="55754CCC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400" w:hRule="exact"/>
              </w:trPr>
              <w:tc>
                <w:tcPr>
                  <w:tcW w:w="600" w:type="dxa"/>
                </w:tcPr>
                <w:p w14:paraId="53549AEA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0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4A65D0">
                  <w:pPr>
                    <w:jc w:val="left"/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/>
                    </w:rPr>
                    <w:drawing>
                      <wp:inline distT="0" distB="0" distL="0" distR="0">
                        <wp:extent cx="2311400" cy="635000"/>
                        <wp:effectExtent l="0" t="0" r="0" b="0"/>
                        <wp:docPr id="9015343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01534313" name="Picture"/>
                                <pic:cNvPicPr/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11400" cy="635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00" w:type="dxa"/>
                </w:tcPr>
                <w:p w14:paraId="31EAC027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7400" w:type="dxa"/>
                </w:tcPr>
                <w:p w14:paraId="26E00233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1400" w:type="dxa"/>
                </w:tcPr>
                <w:p w14:paraId="1DCD8B4D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 w14:paraId="39EE59D9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00" w:hRule="exact"/>
              </w:trPr>
              <w:tc>
                <w:tcPr>
                  <w:tcW w:w="600" w:type="dxa"/>
                </w:tcPr>
                <w:p w14:paraId="6114316F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000" w:type="dxa"/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06A908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1200" w:type="dxa"/>
                </w:tcPr>
                <w:p w14:paraId="1F823FD1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7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678EFE">
                  <w:pPr>
                    <w:jc w:val="center"/>
                    <w:rPr>
                      <w:rFonts w:asciiTheme="minorEastAsia" w:hAnsiTheme="minorEastAsia"/>
                    </w:rPr>
                  </w:pPr>
                  <w:r>
                    <w:rPr>
                      <w:rFonts w:cs="微软雅黑CD" w:asciiTheme="minorEastAsia" w:hAnsiTheme="minorEastAsia"/>
                      <w:b/>
                      <w:color w:val="FFFFFF"/>
                      <w:sz w:val="36"/>
                    </w:rPr>
                    <w:t>理财产品临时公告</w:t>
                  </w:r>
                </w:p>
              </w:tc>
              <w:tc>
                <w:tcPr>
                  <w:tcW w:w="1400" w:type="dxa"/>
                </w:tcPr>
                <w:p w14:paraId="7AE64628">
                  <w:pPr>
                    <w:pStyle w:val="10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</w:tbl>
          <w:p w14:paraId="1C565F99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</w:tr>
      <w:tr w14:paraId="27C466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0" w:hRule="exact"/>
        </w:trPr>
        <w:tc>
          <w:tcPr>
            <w:tcW w:w="40" w:type="dxa"/>
          </w:tcPr>
          <w:p w14:paraId="51290FDA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00" w:type="dxa"/>
          </w:tcPr>
          <w:p w14:paraId="639CBA12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</w:tcPr>
          <w:p w14:paraId="0D0C18E7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0" w:type="dxa"/>
          </w:tcPr>
          <w:p w14:paraId="19DF0E86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00" w:type="dxa"/>
          </w:tcPr>
          <w:p w14:paraId="11C2BE23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00" w:type="dxa"/>
          </w:tcPr>
          <w:p w14:paraId="6789AC5C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40" w:type="dxa"/>
          </w:tcPr>
          <w:p w14:paraId="243FBE7F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60" w:type="dxa"/>
          </w:tcPr>
          <w:p w14:paraId="7C9D4777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00" w:type="dxa"/>
          </w:tcPr>
          <w:p w14:paraId="5FD0CCCC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00" w:type="dxa"/>
          </w:tcPr>
          <w:p w14:paraId="53584156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0" w:type="dxa"/>
          </w:tcPr>
          <w:p w14:paraId="150CB892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60" w:type="dxa"/>
          </w:tcPr>
          <w:p w14:paraId="796B89D1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000" w:type="dxa"/>
          </w:tcPr>
          <w:p w14:paraId="6648B642">
            <w:pPr>
              <w:pStyle w:val="10"/>
              <w:rPr>
                <w:rFonts w:asciiTheme="minorEastAsia" w:hAnsiTheme="minorEastAsia" w:eastAsiaTheme="minorEastAsia"/>
              </w:rPr>
            </w:pPr>
          </w:p>
        </w:tc>
      </w:tr>
    </w:tbl>
    <w:p w14:paraId="27121456">
      <w:pPr>
        <w:pStyle w:val="13"/>
        <w:snapToGrid w:val="0"/>
        <w:spacing w:before="0" w:beforeAutospacing="0" w:after="0" w:afterAutospacing="0" w:line="560" w:lineRule="atLeast"/>
        <w:jc w:val="center"/>
        <w:rPr>
          <w:rFonts w:cs="黑体" w:asciiTheme="minorEastAsia" w:hAnsiTheme="minorEastAsia" w:eastAsiaTheme="minorEastAsia"/>
          <w:sz w:val="32"/>
          <w:szCs w:val="32"/>
        </w:rPr>
      </w:pPr>
    </w:p>
    <w:p w14:paraId="48DC9B3F">
      <w:pPr>
        <w:pStyle w:val="13"/>
        <w:snapToGrid w:val="0"/>
        <w:spacing w:before="0" w:beforeAutospacing="0" w:after="0" w:afterAutospacing="0" w:line="560" w:lineRule="atLeast"/>
        <w:jc w:val="center"/>
        <w:rPr>
          <w:rFonts w:cs="黑体" w:asciiTheme="minorEastAsia" w:hAnsiTheme="minorEastAsia" w:eastAsiaTheme="minorEastAsia"/>
          <w:sz w:val="32"/>
          <w:szCs w:val="32"/>
        </w:rPr>
      </w:pPr>
    </w:p>
    <w:p w14:paraId="38E4D6F6">
      <w:pPr>
        <w:pStyle w:val="13"/>
        <w:snapToGrid w:val="0"/>
        <w:spacing w:before="0" w:beforeAutospacing="0" w:after="0" w:afterAutospacing="0" w:line="560" w:lineRule="atLeast"/>
        <w:jc w:val="center"/>
        <w:rPr>
          <w:rFonts w:cs="微软雅黑CD" w:asciiTheme="minorEastAsia" w:hAnsiTheme="minorEastAsia" w:eastAsiaTheme="minorEastAsia"/>
          <w:b/>
          <w:color w:val="000000"/>
          <w:sz w:val="32"/>
          <w:szCs w:val="20"/>
        </w:rPr>
      </w:pPr>
      <w:r>
        <w:rPr>
          <w:rFonts w:cs="微软雅黑CD" w:asciiTheme="minorEastAsia" w:hAnsiTheme="minorEastAsia" w:eastAsiaTheme="minorEastAsia"/>
          <w:b/>
          <w:color w:val="000000"/>
          <w:sz w:val="32"/>
          <w:szCs w:val="20"/>
        </w:rPr>
        <w:t>信银理财</w:t>
      </w:r>
      <w:r>
        <w:rPr>
          <w:rFonts w:hint="eastAsia" w:cs="微软雅黑CD" w:asciiTheme="minorEastAsia" w:hAnsiTheme="minorEastAsia" w:eastAsiaTheme="minorEastAsia"/>
          <w:b/>
          <w:color w:val="000000"/>
          <w:sz w:val="32"/>
          <w:szCs w:val="20"/>
          <w:lang w:eastAsia="zh-CN"/>
        </w:rPr>
        <w:t>安盈象固收稳健九个月持有期7号</w:t>
      </w:r>
      <w:r>
        <w:rPr>
          <w:rFonts w:cs="微软雅黑CD" w:asciiTheme="minorEastAsia" w:hAnsiTheme="minorEastAsia" w:eastAsiaTheme="minorEastAsia"/>
          <w:b/>
          <w:color w:val="000000"/>
          <w:sz w:val="32"/>
          <w:szCs w:val="20"/>
        </w:rPr>
        <w:t>理财产品</w:t>
      </w:r>
    </w:p>
    <w:p w14:paraId="7FF0F446">
      <w:pPr>
        <w:pStyle w:val="13"/>
        <w:snapToGrid w:val="0"/>
        <w:spacing w:before="0" w:beforeAutospacing="0" w:after="0" w:afterAutospacing="0" w:line="560" w:lineRule="atLeast"/>
        <w:jc w:val="center"/>
        <w:rPr>
          <w:rFonts w:cs="微软雅黑CD" w:asciiTheme="minorEastAsia" w:hAnsiTheme="minorEastAsia" w:eastAsiaTheme="minorEastAsia"/>
          <w:b/>
          <w:color w:val="000000"/>
          <w:sz w:val="32"/>
          <w:szCs w:val="20"/>
        </w:rPr>
      </w:pPr>
      <w:r>
        <w:rPr>
          <w:rFonts w:hint="eastAsia" w:cs="微软雅黑CD" w:asciiTheme="minorEastAsia" w:hAnsiTheme="minorEastAsia" w:eastAsiaTheme="minorEastAsia"/>
          <w:b/>
          <w:color w:val="000000"/>
          <w:sz w:val="32"/>
          <w:szCs w:val="20"/>
        </w:rPr>
        <w:t>说明书调整</w:t>
      </w:r>
      <w:r>
        <w:rPr>
          <w:rFonts w:cs="微软雅黑CD" w:asciiTheme="minorEastAsia" w:hAnsiTheme="minorEastAsia" w:eastAsiaTheme="minorEastAsia"/>
          <w:b/>
          <w:color w:val="000000"/>
          <w:sz w:val="32"/>
          <w:szCs w:val="20"/>
        </w:rPr>
        <w:t>公告</w:t>
      </w:r>
    </w:p>
    <w:p w14:paraId="40FC3213">
      <w:pPr>
        <w:pStyle w:val="13"/>
        <w:snapToGrid w:val="0"/>
        <w:spacing w:before="0" w:beforeAutospacing="0" w:after="0" w:afterAutospacing="0" w:line="560" w:lineRule="atLeast"/>
        <w:jc w:val="both"/>
        <w:rPr>
          <w:rFonts w:cs="仿宋_GB2312" w:asciiTheme="minorEastAsia" w:hAnsiTheme="minorEastAsia" w:eastAsiaTheme="minorEastAsia"/>
          <w:sz w:val="28"/>
          <w:szCs w:val="28"/>
        </w:rPr>
      </w:pPr>
    </w:p>
    <w:p w14:paraId="4199CDA2">
      <w:pPr>
        <w:pStyle w:val="13"/>
        <w:snapToGrid w:val="0"/>
        <w:spacing w:before="0" w:beforeAutospacing="0" w:after="0" w:afterAutospacing="0" w:line="560" w:lineRule="atLeast"/>
        <w:ind w:left="1134" w:leftChars="567" w:right="1008" w:rightChars="504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尊敬的客户：</w:t>
      </w:r>
    </w:p>
    <w:p w14:paraId="79B18993">
      <w:pPr>
        <w:pStyle w:val="13"/>
        <w:snapToGrid w:val="0"/>
        <w:spacing w:before="0" w:beforeAutospacing="0" w:after="0" w:afterAutospacing="0" w:line="560" w:lineRule="atLeast"/>
        <w:ind w:left="1134" w:leftChars="567" w:right="1008" w:rightChars="504" w:firstLine="560" w:firstLineChars="200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基于产品投资运作特点和收益特征，我司决定对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信银理财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eastAsia="zh-CN"/>
        </w:rPr>
        <w:t>安盈象固收稳健九个月持有期7号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理财产品（产品代码：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eastAsia="zh-CN"/>
        </w:rPr>
        <w:t>AF245474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）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val="en-US" w:eastAsia="zh-CN"/>
        </w:rPr>
        <w:t>B/H/G类份额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业绩比较基准和浮动管理费条款进行调整。同时，调整本产品文本类表述，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具体如下：</w:t>
      </w:r>
    </w:p>
    <w:p w14:paraId="1E6C8249">
      <w:pPr>
        <w:pStyle w:val="13"/>
        <w:tabs>
          <w:tab w:val="left" w:pos="1276"/>
        </w:tabs>
        <w:snapToGrid w:val="0"/>
        <w:spacing w:line="560" w:lineRule="atLeast"/>
        <w:ind w:left="1684" w:leftChars="842" w:right="1008" w:rightChars="504" w:firstLine="143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一、产品说明书“二、产品基本要素”中的“业绩比较基准”</w:t>
      </w:r>
    </w:p>
    <w:tbl>
      <w:tblPr>
        <w:tblStyle w:val="7"/>
        <w:tblW w:w="413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7989"/>
      </w:tblGrid>
      <w:tr w14:paraId="5A111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327E9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  <w:t>调整要素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FD21B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  <w:t>业绩比较基准</w:t>
            </w:r>
          </w:p>
        </w:tc>
      </w:tr>
      <w:tr w14:paraId="76661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135D8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  <w:t>调整前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77DBB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B类份额：【2.45%-3.35%】</w:t>
            </w:r>
          </w:p>
          <w:p w14:paraId="4F86137E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H类份额：【2.60%-3.50%】</w:t>
            </w:r>
          </w:p>
          <w:p w14:paraId="14F0495D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G类份额：【2.55%-3.45%】</w:t>
            </w:r>
          </w:p>
          <w:p w14:paraId="0CF12B78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</w:p>
          <w:p w14:paraId="09775058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业绩比较基准测算依据：【本理财产品为固定收益类产品，主要投向为信用债等资产。根据当前市场利率水平、组合目标久期、可投资债券的静态收益率、债券杠杆操作等因素作为测算依据，扣除相关税费成本之后，综合得出产品的业绩比较基准】。</w:t>
            </w:r>
          </w:p>
          <w:p w14:paraId="2F098BEB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业绩比较基准是基于产品性质、投资策略、过往经验等因素对产品设定的投资目标，不是预期收益率，不代表产品的未来表现和实际收益，不构成对产品收益的承诺，投资须谨慎。</w:t>
            </w:r>
          </w:p>
          <w:p w14:paraId="2B3F9CF0">
            <w:pPr>
              <w:widowControl/>
              <w:jc w:val="left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本产品收取的销售服务费可能因销售机构不同有所差异，从而导致测算的业绩比较基准有所差异，请投资者关注管理人及销售机构相关信息披露。</w:t>
            </w:r>
          </w:p>
        </w:tc>
      </w:tr>
      <w:tr w14:paraId="2D135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5EFE6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  <w:t>调整后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DC1C5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B类份额：【中债-新综合全价（1年以下）指数】</w:t>
            </w:r>
          </w:p>
          <w:p w14:paraId="0EF9263F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H类份额：【中债-新综合全价（1年以下）指数】</w:t>
            </w:r>
          </w:p>
          <w:p w14:paraId="740A2944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G类份额：【中债-新综合全价（1年以下）指数】</w:t>
            </w:r>
          </w:p>
          <w:p w14:paraId="3EEADAA0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</w:p>
          <w:p w14:paraId="223AFC32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业绩比较基准测算依据：【本理财产品为固定收益类产品，主要投向为信用债等资产。根据当前市场利率水平、组合目标久期、可投资债券的静态收益率、债券杠杆操作等因素作为测算依据，扣除相关税费成本之后，综合得出产品的业绩比较基准】。</w:t>
            </w:r>
          </w:p>
          <w:p w14:paraId="7646AB5A">
            <w:pPr>
              <w:widowControl/>
              <w:jc w:val="left"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业绩比较基准是基于产品性质、投资策略、过往经验等因素对产品设定的投资目标，不是预期收益率，不代表产品的未来表现和实际收益，不构成对产品收益的承诺，投资须谨慎。</w:t>
            </w:r>
          </w:p>
          <w:p w14:paraId="561B7EA0">
            <w:pPr>
              <w:widowControl/>
              <w:jc w:val="left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本产品收取的销售服务费可能因销售机构不同有所差异，从而导致测算的业绩比较基准有所差异，请投资者关注管理人及销售机构相关信息披露。</w:t>
            </w:r>
          </w:p>
        </w:tc>
      </w:tr>
    </w:tbl>
    <w:p w14:paraId="7CB05AE1">
      <w:pPr>
        <w:pStyle w:val="13"/>
        <w:tabs>
          <w:tab w:val="left" w:pos="1276"/>
        </w:tabs>
        <w:snapToGrid w:val="0"/>
        <w:spacing w:beforeAutospacing="0" w:afterAutospacing="0" w:line="560" w:lineRule="atLeast"/>
        <w:ind w:left="1134" w:leftChars="567" w:right="1008" w:rightChars="504" w:firstLine="568" w:firstLineChars="203"/>
        <w:jc w:val="both"/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根据原说明书约定，管理人有权根据法律法规要求、市场情况在每个开放日调整当期业绩比较基准，并在每个开放日前【2】个工作日以符合监管规定要求的方式向投资者披露，投资者不接受的，可于最近一个开放日赎回理财产品。</w:t>
      </w:r>
    </w:p>
    <w:p w14:paraId="543C2E73">
      <w:pPr>
        <w:pStyle w:val="13"/>
        <w:snapToGrid w:val="0"/>
        <w:spacing w:before="0" w:beforeAutospacing="0" w:after="0" w:afterAutospacing="0" w:line="560" w:lineRule="atLeast"/>
        <w:ind w:left="1134" w:leftChars="567" w:right="1008" w:rightChars="504" w:firstLine="560" w:firstLineChars="200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二、产品说明书“二、产品基本要素”中的“费用条款”</w:t>
      </w:r>
    </w:p>
    <w:tbl>
      <w:tblPr>
        <w:tblStyle w:val="7"/>
        <w:tblW w:w="413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7989"/>
      </w:tblGrid>
      <w:tr w14:paraId="6F709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8B76F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调整要素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40314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费用条款</w:t>
            </w:r>
          </w:p>
        </w:tc>
      </w:tr>
      <w:tr w14:paraId="71EFE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638D1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调整前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89F1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7．浮动管理费：</w:t>
            </w:r>
          </w:p>
          <w:p w14:paraId="7F386EA9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B类份额收取浮动管理费，浮动管理费于投资者赎回、理财产品到期或提前终止情形发生时收取。在赎回、到期或提前终止时，如每份理财产品份额在认购/申购至赎回/到期/提前终止期间（按“先进先出”原则确定）年化收益率超过3.10%，对于超过3.10%的部分，管理人将按照30%的比例收取浮动管理费。因此，投资者在赎回、理财产品到期或提前终止时到账的款项，可能会少于理财产品单位净值乘以相应理财产品份额后所得的金额。</w:t>
            </w:r>
          </w:p>
          <w:p w14:paraId="20CCBC68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H类份额收取浮动管理费，浮动管理费于投资者赎回、理财产品到期或提前终止情形发生时收取。在赎回、到期或提前终止时，如每份理财产品份额在认购/申购至赎回/到期/提前终止期间（按“先进先出”原则确定）年化收益率超过3.05%，对于超过3.05%的部分，管理人将按照30%的比例收取浮动管理费。因此，投资者在赎回、理财产品到期或提前终止时到账的款项，可能会少于理财产品单位净值乘以相应理财产品份额后所得的金额。</w:t>
            </w:r>
          </w:p>
          <w:p w14:paraId="0F26198C">
            <w:pPr>
              <w:widowControl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G类份额收取浮动管理费，浮动管理费于投资者赎回、理财产品到期或提前终止情形发生时收取。在赎回、到期或提前终止时，如每份理财产品份额在认购/申购至赎回/到期/提前终止期间（按“先进先出”原则确定）年化收益率超过3.00%，对于超过3.00%的部分，管理人将按照30%的比例收取浮动管理费。因此，投资者在赎回、理财产品到期或提前终止时到账的款项，可能会少于理财产品单位净值乘以相应理财产品份额后所得的金额。</w:t>
            </w:r>
          </w:p>
        </w:tc>
      </w:tr>
      <w:tr w14:paraId="13C9E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33BE7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调整后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87CF0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7.浮动管理费：</w:t>
            </w:r>
          </w:p>
          <w:p w14:paraId="18337749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  <w:lang w:val="en-US" w:eastAsia="zh-CN"/>
              </w:rPr>
              <w:t>B</w:t>
            </w: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类份额不收取浮动管理费。</w:t>
            </w:r>
          </w:p>
          <w:p w14:paraId="6A75E6BC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  <w:lang w:val="en-US" w:eastAsia="zh-CN"/>
              </w:rPr>
              <w:t>H</w:t>
            </w: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类份额不收取浮动管理费。</w:t>
            </w:r>
          </w:p>
          <w:p w14:paraId="12C4F8D2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  <w:lang w:val="en-US" w:eastAsia="zh-CN"/>
              </w:rPr>
              <w:t>G</w:t>
            </w: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类份额不收取浮动管理费。</w:t>
            </w:r>
          </w:p>
        </w:tc>
      </w:tr>
    </w:tbl>
    <w:p w14:paraId="25E5419F">
      <w:pPr>
        <w:pStyle w:val="13"/>
        <w:snapToGrid w:val="0"/>
        <w:spacing w:before="0" w:beforeAutospacing="0" w:after="0" w:afterAutospacing="0" w:line="560" w:lineRule="atLeast"/>
        <w:ind w:right="1008" w:rightChars="504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</w:p>
    <w:p w14:paraId="0ED25141">
      <w:pPr>
        <w:pStyle w:val="13"/>
        <w:snapToGrid w:val="0"/>
        <w:spacing w:before="0" w:beforeAutospacing="0" w:after="0" w:afterAutospacing="0" w:line="560" w:lineRule="atLeast"/>
        <w:ind w:left="1134" w:leftChars="567" w:right="1008" w:rightChars="504" w:firstLine="560" w:firstLineChars="200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三、产品说明书“九、理财产品的费用”中的“浮动管理费”</w:t>
      </w:r>
    </w:p>
    <w:tbl>
      <w:tblPr>
        <w:tblStyle w:val="7"/>
        <w:tblW w:w="413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7989"/>
      </w:tblGrid>
      <w:tr w14:paraId="7E301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21A03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调整要素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B70FA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浮动管理费</w:t>
            </w:r>
          </w:p>
        </w:tc>
      </w:tr>
      <w:tr w14:paraId="79F0E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ACBF7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调整前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41B57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8．浮动管理费</w:t>
            </w:r>
          </w:p>
          <w:p w14:paraId="7CA319B0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B类份额收取浮动管理费，浮动管理费于投资者赎回、理财产品到期或提前终止情形发生时收取。在赎回、到期或提前终止时，如每份理财产品份额在认购/申购至赎回/到期/提前终止期间（按“先进先出”原则确定）年化收益率超过3.10%，对于超过3.10%的部分，管理人将按照30%的比例收取浮动管理费。因此，投资者在赎回、理财产品到期或提前终止时到账的款项，可能会少于理财产品单位净值乘以相应理财产品份额后所得的金额。</w:t>
            </w:r>
          </w:p>
          <w:p w14:paraId="083F74FE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H类份额收取浮动管理费，浮动管理费于投资者赎回、理财产品到期或提前终止情形发生时收取。在赎回、到期或提前终止时，如每份理财产品份额在认购/申购至赎回/到期/提前终止期间（按“先进先出”原则确定）年化收益率超过3.05%，对于超过3.05%的部分，管理人将按照30%的比例收取浮动管理费。因此，投资者在赎回、理财产品到期或提前终止时到账的款项，可能会少于理财产品单位净值乘以相应理财产品份额后所得的金额。</w:t>
            </w:r>
          </w:p>
          <w:p w14:paraId="0E5C7848">
            <w:pPr>
              <w:widowControl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G类份额收取浮动管理费，浮动管理费于投资者赎回、理财产品到期或提前终止情形发生时收取。在赎回、到期或提前终止时，如每份理财产品份额在认购/申购至赎回/到期/提前终止期间（按“先进先出”原则确定）年化收益率超过3.00%，对于超过3.00%的部分，管理人将按照30%的比例收取浮动管理费。因此，投资者在赎回、理财产品到期或提前终止时到账的款项，可能会少于理财产品单位净值乘以相应理财产品份额后所得的金额。</w:t>
            </w:r>
          </w:p>
        </w:tc>
      </w:tr>
      <w:tr w14:paraId="08B61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F7468">
            <w:pPr>
              <w:widowControl/>
              <w:jc w:val="center"/>
              <w:rPr>
                <w:rFonts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调整后</w:t>
            </w:r>
          </w:p>
        </w:tc>
        <w:tc>
          <w:tcPr>
            <w:tcW w:w="4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44BFC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8. 浮动管理费</w:t>
            </w:r>
          </w:p>
          <w:p w14:paraId="4C40AE7A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  <w:lang w:val="en-US" w:eastAsia="zh-CN"/>
              </w:rPr>
              <w:t>B</w:t>
            </w: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类份额不收取浮动管理费。</w:t>
            </w:r>
          </w:p>
          <w:p w14:paraId="5C8A6FA4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  <w:lang w:val="en-US" w:eastAsia="zh-CN"/>
              </w:rPr>
              <w:t>H</w:t>
            </w: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类份额不收取浮动管理费。</w:t>
            </w:r>
          </w:p>
          <w:p w14:paraId="02D4CD32">
            <w:pPr>
              <w:widowControl/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</w:pP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  <w:lang w:val="en-US" w:eastAsia="zh-CN"/>
              </w:rPr>
              <w:t>G</w:t>
            </w:r>
            <w:r>
              <w:rPr>
                <w:rFonts w:hint="eastAsia" w:cs="微软雅黑CD" w:asciiTheme="minorEastAsia" w:hAnsiTheme="minorEastAsia"/>
                <w:color w:val="000000"/>
                <w:sz w:val="22"/>
                <w:szCs w:val="28"/>
              </w:rPr>
              <w:t>类份额不收取浮动管理费。</w:t>
            </w:r>
          </w:p>
        </w:tc>
      </w:tr>
    </w:tbl>
    <w:p w14:paraId="17EDA319">
      <w:pPr>
        <w:pStyle w:val="13"/>
        <w:tabs>
          <w:tab w:val="left" w:pos="1276"/>
        </w:tabs>
        <w:snapToGrid w:val="0"/>
        <w:spacing w:beforeAutospacing="0" w:afterAutospacing="0" w:line="560" w:lineRule="atLeast"/>
        <w:ind w:left="1134" w:leftChars="567" w:right="1008" w:rightChars="504" w:firstLine="568" w:firstLineChars="203"/>
        <w:jc w:val="both"/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</w:pPr>
      <w:bookmarkStart w:id="1" w:name="_GoBack"/>
      <w:bookmarkEnd w:id="1"/>
    </w:p>
    <w:p w14:paraId="1BA4160E">
      <w:pPr>
        <w:pStyle w:val="13"/>
        <w:tabs>
          <w:tab w:val="left" w:pos="1276"/>
        </w:tabs>
        <w:snapToGrid w:val="0"/>
        <w:spacing w:beforeAutospacing="0" w:afterAutospacing="0" w:line="560" w:lineRule="atLeast"/>
        <w:ind w:left="1134" w:leftChars="567" w:right="1008" w:rightChars="504" w:firstLine="568" w:firstLineChars="203"/>
        <w:jc w:val="both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以上调整拟于2025年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val="en-US" w:eastAsia="zh-CN"/>
        </w:rPr>
        <w:t>12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val="en-US" w:eastAsia="zh-CN"/>
        </w:rPr>
        <w:t>5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</w:rPr>
        <w:t>日生效。根据产品说明书的约定，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本理财产品存续期间内，信银理财有权提前【2】个工作日向投资者发出通知，以符合监管规定的方式对说明书条款进行补充、说明和修改，投资者不接受的，可于最近一个开放日赎回理财产品。</w:t>
      </w:r>
    </w:p>
    <w:p w14:paraId="0A1DA9B1">
      <w:pPr>
        <w:pStyle w:val="13"/>
        <w:snapToGrid w:val="0"/>
        <w:spacing w:before="0" w:beforeAutospacing="0" w:after="0" w:afterAutospacing="0" w:line="560" w:lineRule="atLeast"/>
        <w:ind w:left="1134" w:leftChars="567" w:right="866" w:rightChars="433" w:firstLine="560" w:firstLineChars="200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感谢您一直以来对信银理财有限责任公司的信赖与支持！敬请继续关注信银理财正在热销的理财产品。</w:t>
      </w:r>
    </w:p>
    <w:p w14:paraId="443AEB22">
      <w:pPr>
        <w:pStyle w:val="13"/>
        <w:snapToGrid w:val="0"/>
        <w:spacing w:before="0" w:beforeAutospacing="0" w:after="0" w:afterAutospacing="0" w:line="560" w:lineRule="atLeast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 xml:space="preserve">     </w:t>
      </w:r>
    </w:p>
    <w:p w14:paraId="7EC28297">
      <w:pPr>
        <w:pStyle w:val="13"/>
        <w:snapToGrid w:val="0"/>
        <w:spacing w:before="0" w:beforeAutospacing="0" w:after="0" w:afterAutospacing="0" w:line="560" w:lineRule="atLeast"/>
        <w:ind w:firstLine="560"/>
        <w:rPr>
          <w:rFonts w:cs="Times New Roman" w:asciiTheme="minorEastAsia" w:hAnsiTheme="minorEastAsia" w:eastAsiaTheme="minorEastAsia"/>
          <w:sz w:val="28"/>
          <w:szCs w:val="28"/>
        </w:rPr>
      </w:pPr>
    </w:p>
    <w:p w14:paraId="24D458B8">
      <w:pPr>
        <w:pStyle w:val="13"/>
        <w:snapToGrid w:val="0"/>
        <w:spacing w:before="0" w:beforeAutospacing="0" w:after="0" w:afterAutospacing="0" w:line="560" w:lineRule="atLeast"/>
        <w:ind w:right="1009"/>
        <w:jc w:val="right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信银理财有限责任公司</w:t>
      </w:r>
    </w:p>
    <w:p w14:paraId="77D3C2BB">
      <w:pPr>
        <w:pStyle w:val="6"/>
        <w:shd w:val="clear" w:color="auto" w:fill="FFFFFF"/>
        <w:spacing w:before="0" w:beforeAutospacing="0" w:after="0" w:afterAutospacing="0" w:line="560" w:lineRule="atLeast"/>
        <w:ind w:right="1009"/>
        <w:jc w:val="right"/>
        <w:rPr>
          <w:rFonts w:cs="微软雅黑CD" w:asciiTheme="minorEastAsia" w:hAnsiTheme="minorEastAsia" w:eastAsiaTheme="minorEastAsia"/>
          <w:color w:val="000000"/>
          <w:sz w:val="28"/>
          <w:szCs w:val="28"/>
        </w:rPr>
      </w:pP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2025年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val="en-US" w:eastAsia="zh-CN"/>
        </w:rPr>
        <w:t>12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微软雅黑CD" w:asciiTheme="minorEastAsia" w:hAnsiTheme="minorEastAsia" w:eastAsiaTheme="minorEastAsia"/>
          <w:color w:val="000000"/>
          <w:sz w:val="28"/>
          <w:szCs w:val="28"/>
          <w:lang w:val="en-US" w:eastAsia="zh-CN"/>
        </w:rPr>
        <w:t>3</w:t>
      </w:r>
      <w:r>
        <w:rPr>
          <w:rFonts w:cs="微软雅黑CD" w:asciiTheme="minorEastAsia" w:hAnsiTheme="minorEastAsia" w:eastAsiaTheme="minorEastAsia"/>
          <w:color w:val="000000"/>
          <w:sz w:val="28"/>
          <w:szCs w:val="28"/>
        </w:rPr>
        <w:t>日</w:t>
      </w:r>
    </w:p>
    <w:p w14:paraId="249A22E2">
      <w:pPr>
        <w:ind w:right="1009"/>
        <w:rPr>
          <w:rFonts w:asciiTheme="minorEastAsia" w:hAnsiTheme="minorEastAsia"/>
        </w:rPr>
      </w:pPr>
    </w:p>
    <w:sectPr>
      <w:pgSz w:w="11907" w:h="16839"/>
      <w:pgMar w:top="0" w:right="400" w:bottom="40" w:left="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CD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D4E"/>
    <w:rsid w:val="00020B70"/>
    <w:rsid w:val="0003063D"/>
    <w:rsid w:val="00031708"/>
    <w:rsid w:val="00051500"/>
    <w:rsid w:val="00063219"/>
    <w:rsid w:val="000738DC"/>
    <w:rsid w:val="00087963"/>
    <w:rsid w:val="000B79F8"/>
    <w:rsid w:val="000D1BAC"/>
    <w:rsid w:val="000E7CB5"/>
    <w:rsid w:val="000F2677"/>
    <w:rsid w:val="001212F8"/>
    <w:rsid w:val="00121E90"/>
    <w:rsid w:val="00135578"/>
    <w:rsid w:val="001C3EBD"/>
    <w:rsid w:val="001C419D"/>
    <w:rsid w:val="001F3CBD"/>
    <w:rsid w:val="00207341"/>
    <w:rsid w:val="00260A4F"/>
    <w:rsid w:val="002738D9"/>
    <w:rsid w:val="002B1960"/>
    <w:rsid w:val="002D29CB"/>
    <w:rsid w:val="002D4CA0"/>
    <w:rsid w:val="00310D8B"/>
    <w:rsid w:val="0031213C"/>
    <w:rsid w:val="003571CD"/>
    <w:rsid w:val="0036640F"/>
    <w:rsid w:val="0039093C"/>
    <w:rsid w:val="00395A48"/>
    <w:rsid w:val="003A3DD0"/>
    <w:rsid w:val="003B14F0"/>
    <w:rsid w:val="003B50AF"/>
    <w:rsid w:val="003C15FE"/>
    <w:rsid w:val="003D039E"/>
    <w:rsid w:val="003D2C81"/>
    <w:rsid w:val="003E0A6D"/>
    <w:rsid w:val="003E58DF"/>
    <w:rsid w:val="003F17D1"/>
    <w:rsid w:val="00401190"/>
    <w:rsid w:val="00407F09"/>
    <w:rsid w:val="0041612C"/>
    <w:rsid w:val="004339B9"/>
    <w:rsid w:val="00443D7A"/>
    <w:rsid w:val="00450B4F"/>
    <w:rsid w:val="00451BCB"/>
    <w:rsid w:val="00472DFF"/>
    <w:rsid w:val="00476E08"/>
    <w:rsid w:val="004A05F6"/>
    <w:rsid w:val="004A0608"/>
    <w:rsid w:val="004A0B60"/>
    <w:rsid w:val="004B17DD"/>
    <w:rsid w:val="004B1D3B"/>
    <w:rsid w:val="004B5748"/>
    <w:rsid w:val="004C3729"/>
    <w:rsid w:val="004E09AC"/>
    <w:rsid w:val="004E6D81"/>
    <w:rsid w:val="004F324F"/>
    <w:rsid w:val="004F6035"/>
    <w:rsid w:val="00505D7A"/>
    <w:rsid w:val="0059637F"/>
    <w:rsid w:val="005B4F6A"/>
    <w:rsid w:val="005B64FF"/>
    <w:rsid w:val="005D2732"/>
    <w:rsid w:val="005D34F2"/>
    <w:rsid w:val="005F4048"/>
    <w:rsid w:val="005F6F7D"/>
    <w:rsid w:val="006323B1"/>
    <w:rsid w:val="0064652B"/>
    <w:rsid w:val="00651865"/>
    <w:rsid w:val="00687243"/>
    <w:rsid w:val="00696BFD"/>
    <w:rsid w:val="006A77B8"/>
    <w:rsid w:val="006C176A"/>
    <w:rsid w:val="006C23A5"/>
    <w:rsid w:val="006D5AEA"/>
    <w:rsid w:val="006F3A47"/>
    <w:rsid w:val="00725F42"/>
    <w:rsid w:val="00731E43"/>
    <w:rsid w:val="00750530"/>
    <w:rsid w:val="00753DFC"/>
    <w:rsid w:val="007547A5"/>
    <w:rsid w:val="00777925"/>
    <w:rsid w:val="007809B1"/>
    <w:rsid w:val="007819FA"/>
    <w:rsid w:val="00785F03"/>
    <w:rsid w:val="007C42E2"/>
    <w:rsid w:val="007C7D0D"/>
    <w:rsid w:val="007D0A7D"/>
    <w:rsid w:val="007E08C8"/>
    <w:rsid w:val="007E34AB"/>
    <w:rsid w:val="007E6353"/>
    <w:rsid w:val="0081347F"/>
    <w:rsid w:val="00816415"/>
    <w:rsid w:val="00826D08"/>
    <w:rsid w:val="0083109F"/>
    <w:rsid w:val="00833579"/>
    <w:rsid w:val="00873D1D"/>
    <w:rsid w:val="008833F1"/>
    <w:rsid w:val="008B73C8"/>
    <w:rsid w:val="008C50C8"/>
    <w:rsid w:val="008C6895"/>
    <w:rsid w:val="009070AA"/>
    <w:rsid w:val="009126D9"/>
    <w:rsid w:val="00912A4C"/>
    <w:rsid w:val="009506FF"/>
    <w:rsid w:val="00972947"/>
    <w:rsid w:val="00973119"/>
    <w:rsid w:val="009910B0"/>
    <w:rsid w:val="0099703F"/>
    <w:rsid w:val="009B2959"/>
    <w:rsid w:val="009B3D94"/>
    <w:rsid w:val="009C188C"/>
    <w:rsid w:val="009C1EE5"/>
    <w:rsid w:val="009C2870"/>
    <w:rsid w:val="009C358C"/>
    <w:rsid w:val="009F26F4"/>
    <w:rsid w:val="00A23526"/>
    <w:rsid w:val="00A23E74"/>
    <w:rsid w:val="00A3213C"/>
    <w:rsid w:val="00AB6DFD"/>
    <w:rsid w:val="00AE3D2D"/>
    <w:rsid w:val="00AF198C"/>
    <w:rsid w:val="00AF60C5"/>
    <w:rsid w:val="00B016A1"/>
    <w:rsid w:val="00B114D4"/>
    <w:rsid w:val="00B35110"/>
    <w:rsid w:val="00B832CE"/>
    <w:rsid w:val="00B8413D"/>
    <w:rsid w:val="00BC63A2"/>
    <w:rsid w:val="00BC757B"/>
    <w:rsid w:val="00C223D5"/>
    <w:rsid w:val="00C277C3"/>
    <w:rsid w:val="00C45DFF"/>
    <w:rsid w:val="00CC6E54"/>
    <w:rsid w:val="00CD35ED"/>
    <w:rsid w:val="00CE47D9"/>
    <w:rsid w:val="00CF3ED9"/>
    <w:rsid w:val="00D05147"/>
    <w:rsid w:val="00D25940"/>
    <w:rsid w:val="00D300E9"/>
    <w:rsid w:val="00D308BF"/>
    <w:rsid w:val="00D30D60"/>
    <w:rsid w:val="00D32A1F"/>
    <w:rsid w:val="00D33753"/>
    <w:rsid w:val="00D40F84"/>
    <w:rsid w:val="00D41A40"/>
    <w:rsid w:val="00D7235E"/>
    <w:rsid w:val="00D91ACE"/>
    <w:rsid w:val="00D95D7D"/>
    <w:rsid w:val="00DA6046"/>
    <w:rsid w:val="00DB79EC"/>
    <w:rsid w:val="00DC7728"/>
    <w:rsid w:val="00DE11C1"/>
    <w:rsid w:val="00DE7A76"/>
    <w:rsid w:val="00E02628"/>
    <w:rsid w:val="00E077E0"/>
    <w:rsid w:val="00E14B5C"/>
    <w:rsid w:val="00E323FD"/>
    <w:rsid w:val="00E345FA"/>
    <w:rsid w:val="00E63C2B"/>
    <w:rsid w:val="00E84ACA"/>
    <w:rsid w:val="00E850E1"/>
    <w:rsid w:val="00ED4384"/>
    <w:rsid w:val="00ED74E1"/>
    <w:rsid w:val="00F05328"/>
    <w:rsid w:val="00F1756E"/>
    <w:rsid w:val="00F573C9"/>
    <w:rsid w:val="00F57B70"/>
    <w:rsid w:val="00F60D4E"/>
    <w:rsid w:val="00F74A2F"/>
    <w:rsid w:val="00F95E7F"/>
    <w:rsid w:val="00F97EF7"/>
    <w:rsid w:val="00FA4601"/>
    <w:rsid w:val="00FA63C7"/>
    <w:rsid w:val="00FA6BB5"/>
    <w:rsid w:val="00FD584D"/>
    <w:rsid w:val="00FF658B"/>
    <w:rsid w:val="075E5CBD"/>
    <w:rsid w:val="1459446A"/>
    <w:rsid w:val="1EBBE02C"/>
    <w:rsid w:val="34FC5D03"/>
    <w:rsid w:val="3BBF199C"/>
    <w:rsid w:val="49BD2AAB"/>
    <w:rsid w:val="49EB34D3"/>
    <w:rsid w:val="53C770E7"/>
    <w:rsid w:val="61BD01C8"/>
    <w:rsid w:val="789E08A5"/>
    <w:rsid w:val="797FF333"/>
    <w:rsid w:val="7F5D5AD4"/>
    <w:rsid w:val="D7FBE3F2"/>
    <w:rsid w:val="DBED0F55"/>
    <w:rsid w:val="DF7F61E1"/>
    <w:rsid w:val="E9E996E5"/>
    <w:rsid w:val="FEF9C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39"/>
    <w:rPr>
      <w:rFonts w:asciiTheme="minorHAnsi" w:hAnsiTheme="minorHAns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EMPTY_CELL_STYLE"/>
    <w:qFormat/>
    <w:uiPriority w:val="0"/>
    <w:rPr>
      <w:rFonts w:ascii="SansSerif" w:hAnsi="SansSerif" w:eastAsia="SansSerif" w:cs="SansSerif"/>
      <w:color w:val="000000"/>
      <w:sz w:val="1"/>
      <w:lang w:val="en-US" w:eastAsia="zh-CN" w:bidi="ar-SA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customStyle="1" w:styleId="13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customStyle="1" w:styleId="14">
    <w:name w:val="日期 Char"/>
    <w:basedOn w:val="9"/>
    <w:link w:val="2"/>
    <w:semiHidden/>
    <w:qFormat/>
    <w:uiPriority w:val="99"/>
  </w:style>
  <w:style w:type="character" w:customStyle="1" w:styleId="15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407</Words>
  <Characters>2322</Characters>
  <Lines>19</Lines>
  <Paragraphs>5</Paragraphs>
  <TotalTime>0</TotalTime>
  <ScaleCrop>false</ScaleCrop>
  <LinksUpToDate>false</LinksUpToDate>
  <CharactersWithSpaces>2724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2023-04-25T07:37:00Z</dcterms:created>
  <dc:creator>陈菲</dc:creator>
  <cp:lastModifiedBy>ynjr_zhangguoyou</cp:lastModifiedBy>
  <cp:lastPrinted>2022-06-29T07:02:00Z</cp:lastPrinted>
  <dcterms:modified xsi:type="dcterms:W3CDTF">2025-12-03T06:08:25Z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4EB8A36CED2CC96B449EA567D6EC63C0_42</vt:lpwstr>
  </property>
</Properties>
</file>