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Default Extension="bmp" ContentType="image/bmp"/>
  <Default Extension="jp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jc w:val="center"/>
        <w:outlineLvl w:val="0"/>
        <w:rPr>
          <w:rFonts w:ascii="华文中宋" w:hAnsi="华文中宋" w:eastAsia="华文中宋" w:cs="华文中宋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eastAsia="zh-CN"/>
        </w:rPr>
        <w:t>幸福99添益（安享优选）7天持有期8期理财E款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val="en-US" w:eastAsia="zh-CN"/>
        </w:rPr>
        <w:t>产品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费用阶段性调整公告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尊敬的投资者：</w:t>
      </w:r>
    </w:p>
    <w:p>
      <w:pPr>
        <w:widowControl/>
        <w:spacing w:before="100" w:beforeAutospacing="1" w:after="100" w:afterAutospacing="1" w:line="360" w:lineRule="auto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为满足投资者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理财需求，更好地为投资者提供服务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杭银理财拟对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幸福99添益（安享优选）7天持有期8期理财E款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的产品费用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进行阶段性调整，具体如下：</w:t>
      </w:r>
    </w:p>
    <w:tbl>
      <w:tblPr>
        <w:tblStyle w:val="9"/>
        <w:tblW w:w="8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445"/>
        <w:gridCol w:w="1373"/>
        <w:gridCol w:w="1386"/>
        <w:gridCol w:w="1446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销售代码</w:t>
            </w:r>
          </w:p>
        </w:tc>
        <w:tc>
          <w:tcPr>
            <w:tcW w:w="1445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费用类型</w:t>
            </w:r>
          </w:p>
        </w:tc>
        <w:tc>
          <w:tcPr>
            <w:tcW w:w="137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说明书约定的费率</w:t>
            </w:r>
          </w:p>
        </w:tc>
        <w:tc>
          <w:tcPr>
            <w:tcW w:w="138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调整后的费率</w:t>
            </w:r>
          </w:p>
        </w:tc>
        <w:tc>
          <w:tcPr>
            <w:tcW w:w="144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生效日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）</w:t>
            </w:r>
          </w:p>
        </w:tc>
        <w:tc>
          <w:tcPr>
            <w:tcW w:w="151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结束日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TYGC7D2508E</w:t>
            </w:r>
          </w:p>
        </w:tc>
        <w:tc>
          <w:tcPr>
            <w:tcW w:w="1445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固定管理费</w:t>
            </w:r>
          </w:p>
        </w:tc>
        <w:tc>
          <w:tcPr>
            <w:tcW w:w="137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0.60%</w:t>
            </w:r>
          </w:p>
        </w:tc>
        <w:tc>
          <w:tcPr>
            <w:tcW w:w="138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0.30%</w:t>
            </w:r>
          </w:p>
        </w:tc>
        <w:tc>
          <w:tcPr>
            <w:tcW w:w="144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2025-10-23</w:t>
            </w:r>
          </w:p>
        </w:tc>
        <w:tc>
          <w:tcPr>
            <w:tcW w:w="151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2025-11-30</w:t>
            </w:r>
          </w:p>
        </w:tc>
      </w:tr>
    </w:tbl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后续若有调整，请以最新公告为准。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感谢您一直以来对杭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银理财的支持，敬请继续关注杭银理财的理财产品。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/>
        <w:ind w:firstLine="560" w:firstLineChars="200"/>
        <w:jc w:val="righ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杭银理财有限责任公司</w:t>
      </w:r>
    </w:p>
    <w:p>
      <w:pPr>
        <w:widowControl/>
        <w:spacing w:before="100" w:beforeAutospacing="1" w:after="100" w:afterAutospacing="1"/>
        <w:ind w:firstLine="560" w:firstLineChars="20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 xml:space="preserve">                                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2025年10月20日</w:t>
      </w:r>
    </w:p>
    <w:sectPr>
      <w:headerReference r:id="rId3" w:type="default"/>
      <w:pgSz w:w="11906" w:h="16838"/>
      <w:pgMar w:top="2551" w:right="1803" w:bottom="2551" w:left="1803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027456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5FA1192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08A2A20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hAnsi="Times New Roman" w:eastAsia="宋体"/>
      <w:b/>
      <w:kern w:val="44"/>
      <w:sz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hAnsi="Arial" w:eastAsia="宋体"/>
      <w:b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hAnsi="Times New Roman" w:eastAsia="宋体"/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2025-07-29T03:27:36Z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