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A55C74"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嘉银25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37</w:t>
      </w:r>
      <w:r>
        <w:rPr>
          <w:rFonts w:hint="eastAsia" w:ascii="宋体" w:hAnsi="宋体"/>
          <w:b/>
          <w:sz w:val="32"/>
          <w:szCs w:val="32"/>
        </w:rPr>
        <w:t>期理财产品</w:t>
      </w:r>
      <w:r>
        <w:rPr>
          <w:rFonts w:ascii="宋体" w:hAnsi="宋体"/>
          <w:b/>
          <w:sz w:val="32"/>
          <w:szCs w:val="32"/>
        </w:rPr>
        <w:t>202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5</w:t>
      </w:r>
      <w:r>
        <w:rPr>
          <w:rFonts w:ascii="宋体" w:hAnsi="宋体"/>
          <w:b/>
          <w:sz w:val="32"/>
          <w:szCs w:val="32"/>
        </w:rPr>
        <w:t>年第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3</w:t>
      </w:r>
      <w:r>
        <w:rPr>
          <w:rFonts w:ascii="宋体" w:hAnsi="宋体"/>
          <w:b/>
          <w:sz w:val="32"/>
          <w:szCs w:val="32"/>
        </w:rPr>
        <w:t>季度报告</w:t>
      </w:r>
    </w:p>
    <w:p w14:paraId="2030BD8D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47059A55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产品基本情况</w:t>
      </w:r>
    </w:p>
    <w:tbl>
      <w:tblPr>
        <w:tblStyle w:val="7"/>
        <w:tblW w:w="8400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5"/>
        <w:gridCol w:w="4095"/>
      </w:tblGrid>
      <w:tr w14:paraId="486667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4C956A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40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7BB07B41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嘉银25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37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期理财产品</w:t>
            </w:r>
          </w:p>
        </w:tc>
      </w:tr>
      <w:tr w14:paraId="587F96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9946F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产品代码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5898FBA3">
            <w:pPr>
              <w:widowControl/>
              <w:jc w:val="left"/>
              <w:rPr>
                <w:rFonts w:hint="default" w:ascii="宋体" w:hAnsi="宋体" w:eastAsia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JY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LC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2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537</w:t>
            </w:r>
          </w:p>
        </w:tc>
      </w:tr>
      <w:tr w14:paraId="70D4F7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5CBFD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全国银行业理财信息登记系统登记编码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5889EA39">
            <w:pPr>
              <w:widowControl/>
              <w:jc w:val="left"/>
              <w:rPr>
                <w:rFonts w:hint="default" w:ascii="宋体" w:hAnsi="宋体" w:eastAsia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C109232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5A000005</w:t>
            </w:r>
          </w:p>
        </w:tc>
      </w:tr>
      <w:tr w14:paraId="46CBFA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5F6E3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产品运作方式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33231E9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封闭式净值型</w:t>
            </w:r>
          </w:p>
        </w:tc>
      </w:tr>
      <w:tr w14:paraId="031D8C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228AB7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报告期末产品份额总额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7229ECF1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1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50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,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000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,000.00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份</w:t>
            </w:r>
          </w:p>
        </w:tc>
      </w:tr>
      <w:tr w14:paraId="207D82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14369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产品类型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5F7DE992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固定收益类</w:t>
            </w:r>
          </w:p>
        </w:tc>
      </w:tr>
      <w:tr w14:paraId="7AD7B0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55967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报告期末</w:t>
            </w: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业绩比较基准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5078CDA3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2.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10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%-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.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50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%</w:t>
            </w:r>
          </w:p>
        </w:tc>
      </w:tr>
      <w:tr w14:paraId="0CF760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7C1AB8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管理人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3A20E636">
            <w:pPr>
              <w:pStyle w:val="6"/>
              <w:widowControl/>
              <w:spacing w:before="0" w:beforeAutospacing="0" w:after="0" w:afterAutospacing="0"/>
              <w:rPr>
                <w:rFonts w:ascii="宋体" w:hAnsi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嘉兴银行股份有限公司</w:t>
            </w:r>
          </w:p>
        </w:tc>
      </w:tr>
      <w:tr w14:paraId="53777B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A107D2F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托管人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387A6A0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杭州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银行股份有限公司</w:t>
            </w:r>
          </w:p>
        </w:tc>
      </w:tr>
    </w:tbl>
    <w:p w14:paraId="274DFF4B">
      <w:pPr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</w:t>
      </w:r>
    </w:p>
    <w:p w14:paraId="21C1E31C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212BCF8A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产品收益/净值表现</w:t>
      </w:r>
    </w:p>
    <w:p w14:paraId="16053922">
      <w:pPr>
        <w:ind w:firstLine="440"/>
        <w:jc w:val="left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报告期末，产品净值表现如下：</w:t>
      </w:r>
    </w:p>
    <w:tbl>
      <w:tblPr>
        <w:tblStyle w:val="7"/>
        <w:tblW w:w="850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2145"/>
        <w:gridCol w:w="2145"/>
        <w:gridCol w:w="2415"/>
      </w:tblGrid>
      <w:tr w14:paraId="509454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12EE6C6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报告时点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B1ADD4E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产品份额净值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7947300A">
            <w:pPr>
              <w:ind w:left="30" w:right="30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  <w:t>份额累计净值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644DB27B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产品资产净值</w:t>
            </w:r>
          </w:p>
        </w:tc>
      </w:tr>
      <w:tr w14:paraId="2065D0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2A05A808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/30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456539BA">
            <w:pPr>
              <w:ind w:right="30"/>
              <w:jc w:val="center"/>
              <w:rPr>
                <w:rFonts w:hint="default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1.0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106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40F81F8B">
            <w:pPr>
              <w:ind w:right="30"/>
              <w:jc w:val="center"/>
              <w:rPr>
                <w:rFonts w:hint="default" w:asciiTheme="minorEastAsia" w:hAnsiTheme="minorEastAsia" w:eastAsiaTheme="minorEastAsia" w:cstheme="minorEastAsia"/>
                <w:sz w:val="22"/>
                <w:szCs w:val="22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1.0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106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38C9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151,593,030.33 </w:t>
            </w:r>
          </w:p>
        </w:tc>
      </w:tr>
    </w:tbl>
    <w:p w14:paraId="09DE40ED">
      <w:pPr>
        <w:ind w:firstLine="440"/>
        <w:jc w:val="center"/>
        <w:rPr>
          <w:rFonts w:ascii="宋体" w:hAnsi="宋体"/>
          <w:sz w:val="22"/>
        </w:rPr>
      </w:pPr>
    </w:p>
    <w:p w14:paraId="63EFC1BF">
      <w:pPr>
        <w:ind w:firstLine="440"/>
        <w:jc w:val="center"/>
        <w:rPr>
          <w:rFonts w:ascii="宋体" w:hAnsi="宋体"/>
          <w:sz w:val="22"/>
        </w:rPr>
      </w:pPr>
    </w:p>
    <w:p w14:paraId="7BB8BA6F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投资组合报告</w:t>
      </w:r>
    </w:p>
    <w:p w14:paraId="419CDA4A">
      <w:pPr>
        <w:pStyle w:val="11"/>
        <w:ind w:firstLine="440"/>
        <w:jc w:val="left"/>
        <w:rPr>
          <w:rFonts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报告期内，</w:t>
      </w:r>
      <w:r>
        <w:rPr>
          <w:rStyle w:val="14"/>
          <w:rFonts w:hint="eastAsia"/>
          <w:color w:val="000000" w:themeColor="text1"/>
        </w:rPr>
        <w:t>本产品未进行收益分配，</w:t>
      </w:r>
      <w:r>
        <w:rPr>
          <w:rFonts w:hint="eastAsia" w:ascii="宋体" w:hAnsi="宋体"/>
          <w:sz w:val="22"/>
          <w:szCs w:val="22"/>
        </w:rPr>
        <w:t>本产品穿透前持仓以债券类资产为主，穿透后持仓以债券类资产为主，杠杆率</w:t>
      </w:r>
      <w:r>
        <w:rPr>
          <w:rFonts w:hint="eastAsia" w:ascii="宋体" w:hAnsi="宋体" w:cs="Times New Roman"/>
          <w:kern w:val="2"/>
          <w:sz w:val="22"/>
          <w:szCs w:val="22"/>
          <w:lang w:val="en-US" w:eastAsia="zh-CN" w:bidi="ar-SA"/>
        </w:rPr>
        <w:t>100.2447</w:t>
      </w:r>
      <w:bookmarkStart w:id="0" w:name="_GoBack"/>
      <w:bookmarkEnd w:id="0"/>
      <w:r>
        <w:rPr>
          <w:rFonts w:hint="eastAsia" w:ascii="宋体" w:hAnsi="宋体" w:cs="Times New Roman"/>
          <w:kern w:val="2"/>
          <w:sz w:val="22"/>
          <w:szCs w:val="22"/>
          <w:lang w:val="en-US" w:eastAsia="zh-CN" w:bidi="ar-SA"/>
        </w:rPr>
        <w:t>%</w:t>
      </w:r>
      <w:r>
        <w:rPr>
          <w:rFonts w:hint="eastAsia" w:ascii="宋体" w:hAnsi="宋体"/>
          <w:sz w:val="22"/>
          <w:szCs w:val="22"/>
        </w:rPr>
        <w:t>，流动性较好，流动风险较低。</w:t>
      </w:r>
    </w:p>
    <w:p w14:paraId="107B9559">
      <w:pPr>
        <w:pStyle w:val="2"/>
        <w:numPr>
          <w:ilvl w:val="0"/>
          <w:numId w:val="2"/>
        </w:numPr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报告期末产品资产组合情况</w:t>
      </w:r>
    </w:p>
    <w:tbl>
      <w:tblPr>
        <w:tblStyle w:val="7"/>
        <w:tblW w:w="84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4125"/>
      </w:tblGrid>
      <w:tr w14:paraId="2C2CE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34CED98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资产类型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8510AD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占总资产比例</w:t>
            </w:r>
          </w:p>
        </w:tc>
      </w:tr>
      <w:tr w14:paraId="46D06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664658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固定收益类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EB6DA1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100.00%</w:t>
            </w:r>
          </w:p>
        </w:tc>
      </w:tr>
      <w:tr w14:paraId="0F067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24DC9C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权益类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9A97EE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00AF38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6BBE97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商品及金融衍生品类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90EBCD0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1C78F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AAEAB40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混合类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0CEE7C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452A75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872F50E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合计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D9D6FF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100.00%</w:t>
            </w:r>
          </w:p>
        </w:tc>
      </w:tr>
    </w:tbl>
    <w:p w14:paraId="574E2296">
      <w:pPr>
        <w:rPr>
          <w:rFonts w:ascii="宋体" w:hAnsi="宋体"/>
          <w:b/>
          <w:bCs/>
          <w:sz w:val="22"/>
        </w:rPr>
      </w:pPr>
    </w:p>
    <w:p w14:paraId="3F133889">
      <w:pPr>
        <w:rPr>
          <w:rFonts w:ascii="宋体" w:hAnsi="宋体"/>
          <w:b/>
          <w:bCs/>
          <w:sz w:val="22"/>
        </w:rPr>
      </w:pPr>
    </w:p>
    <w:p w14:paraId="56EE3907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2.报告期末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穿透前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350"/>
        <w:gridCol w:w="2985"/>
        <w:gridCol w:w="2190"/>
        <w:gridCol w:w="1350"/>
      </w:tblGrid>
      <w:tr w14:paraId="759284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4AFA446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190F6C6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C817D33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C3BB2EE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32C5316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资产比例</w:t>
            </w:r>
          </w:p>
        </w:tc>
      </w:tr>
      <w:tr w14:paraId="2CF5A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52A4461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-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2364C53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-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B84EE37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-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B455221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-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04ADB27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-</w:t>
            </w:r>
          </w:p>
        </w:tc>
      </w:tr>
    </w:tbl>
    <w:p w14:paraId="485E37B3">
      <w:pPr>
        <w:pStyle w:val="2"/>
        <w:spacing w:before="0" w:after="0"/>
        <w:jc w:val="left"/>
        <w:rPr>
          <w:rFonts w:hint="eastAsia"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3</w:t>
      </w:r>
      <w:r>
        <w:rPr>
          <w:rFonts w:hint="eastAsia" w:ascii="宋体" w:hAnsi="宋体"/>
          <w:b w:val="0"/>
          <w:bCs w:val="0"/>
          <w:sz w:val="22"/>
          <w:szCs w:val="22"/>
        </w:rPr>
        <w:t>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穿透后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6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335"/>
        <w:gridCol w:w="2970"/>
        <w:gridCol w:w="2250"/>
        <w:gridCol w:w="1335"/>
      </w:tblGrid>
      <w:tr w14:paraId="22897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2E069E0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33CFAFE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600CAC2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B8ACF31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BAB7EDC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资产比例</w:t>
            </w:r>
          </w:p>
        </w:tc>
      </w:tr>
      <w:tr w14:paraId="3738E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52B17D4">
            <w:pPr>
              <w:jc w:val="center"/>
            </w:pPr>
            <w:r>
              <w:rPr>
                <w:rFonts w:hint="eastAsia"/>
                <w:lang w:val="en-US" w:eastAsia="zh-CN"/>
              </w:rPr>
              <w:t>-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016BB6E">
            <w:pPr>
              <w:jc w:val="center"/>
            </w:pPr>
            <w:r>
              <w:rPr>
                <w:rFonts w:hint="eastAsia"/>
                <w:lang w:val="en-US" w:eastAsia="zh-CN"/>
              </w:rPr>
              <w:t>-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28F0A90"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-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BCC901C">
            <w:pPr>
              <w:jc w:val="center"/>
            </w:pPr>
            <w:r>
              <w:rPr>
                <w:rFonts w:hint="eastAsia"/>
                <w:lang w:val="en-US" w:eastAsia="zh-CN"/>
              </w:rPr>
              <w:t>-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819752F">
            <w:pPr>
              <w:jc w:val="center"/>
            </w:pPr>
            <w:r>
              <w:rPr>
                <w:rFonts w:hint="eastAsia"/>
                <w:lang w:val="en-US" w:eastAsia="zh-CN"/>
              </w:rPr>
              <w:t>-</w:t>
            </w:r>
          </w:p>
        </w:tc>
      </w:tr>
    </w:tbl>
    <w:p w14:paraId="6983115B"/>
    <w:p w14:paraId="0A1FE9C7">
      <w:pPr>
        <w:pStyle w:val="11"/>
        <w:ind w:firstLine="0"/>
        <w:jc w:val="left"/>
        <w:rPr>
          <w:rFonts w:ascii="宋体" w:hAnsi="宋体"/>
          <w:b/>
          <w:bCs/>
          <w:sz w:val="22"/>
          <w:szCs w:val="21"/>
        </w:rPr>
      </w:pPr>
    </w:p>
    <w:p w14:paraId="426A13E1">
      <w:pPr>
        <w:pStyle w:val="11"/>
        <w:ind w:firstLine="0"/>
        <w:jc w:val="left"/>
        <w:rPr>
          <w:rFonts w:ascii="宋体" w:hAnsi="宋体"/>
          <w:b/>
          <w:bCs/>
          <w:sz w:val="22"/>
          <w:szCs w:val="22"/>
        </w:rPr>
      </w:pPr>
    </w:p>
    <w:p w14:paraId="3DA91124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投资账户信息</w:t>
      </w:r>
    </w:p>
    <w:tbl>
      <w:tblPr>
        <w:tblStyle w:val="7"/>
        <w:tblW w:w="85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9"/>
        <w:gridCol w:w="4107"/>
      </w:tblGrid>
      <w:tr w14:paraId="162B0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73474C51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交易场所</w:t>
            </w:r>
          </w:p>
        </w:tc>
        <w:tc>
          <w:tcPr>
            <w:tcW w:w="2397" w:type="pct"/>
            <w:vAlign w:val="top"/>
          </w:tcPr>
          <w:p w14:paraId="7289830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账号</w:t>
            </w:r>
          </w:p>
        </w:tc>
      </w:tr>
      <w:tr w14:paraId="77EE9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35460D20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银行间市场清算所账号</w:t>
            </w:r>
          </w:p>
        </w:tc>
        <w:tc>
          <w:tcPr>
            <w:tcW w:w="2397" w:type="pct"/>
            <w:vAlign w:val="top"/>
          </w:tcPr>
          <w:p w14:paraId="0DB4B147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B2189810</w:t>
            </w:r>
          </w:p>
        </w:tc>
      </w:tr>
      <w:tr w14:paraId="325D2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269F18FB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中央结算公司账号</w:t>
            </w:r>
          </w:p>
        </w:tc>
        <w:tc>
          <w:tcPr>
            <w:tcW w:w="2397" w:type="pct"/>
            <w:vAlign w:val="top"/>
          </w:tcPr>
          <w:p w14:paraId="12E2F20D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00000033304</w:t>
            </w:r>
          </w:p>
        </w:tc>
      </w:tr>
      <w:tr w14:paraId="7C106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10C4AB9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上海证券交易所账号</w:t>
            </w:r>
          </w:p>
        </w:tc>
        <w:tc>
          <w:tcPr>
            <w:tcW w:w="2397" w:type="pct"/>
            <w:vAlign w:val="top"/>
          </w:tcPr>
          <w:p w14:paraId="21CDA147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B882457359</w:t>
            </w:r>
          </w:p>
        </w:tc>
      </w:tr>
      <w:tr w14:paraId="05A00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5AF2D79E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深圳证券交易所账号</w:t>
            </w:r>
          </w:p>
        </w:tc>
        <w:tc>
          <w:tcPr>
            <w:tcW w:w="2397" w:type="pct"/>
            <w:vAlign w:val="top"/>
          </w:tcPr>
          <w:p w14:paraId="5D7FCB1E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0899187394</w:t>
            </w:r>
          </w:p>
        </w:tc>
      </w:tr>
    </w:tbl>
    <w:p w14:paraId="02792424">
      <w:pPr>
        <w:jc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注：理财产品托管人</w:t>
      </w:r>
      <w:r>
        <w:rPr>
          <w:rFonts w:hint="eastAsia" w:ascii="宋体" w:hAnsi="宋体"/>
          <w:sz w:val="18"/>
          <w:szCs w:val="18"/>
          <w:lang w:val="en-US" w:eastAsia="zh-CN"/>
        </w:rPr>
        <w:t>杭州</w:t>
      </w:r>
      <w:r>
        <w:rPr>
          <w:rFonts w:hint="eastAsia" w:ascii="宋体" w:hAnsi="宋体"/>
          <w:sz w:val="18"/>
          <w:szCs w:val="18"/>
        </w:rPr>
        <w:t>银行股份有限公司根据托管协议规定，复核了本报告中的财务指标、净值表现和资产组合报告等内容，保证复核内容不存在虚假记载、误导性陈述。</w:t>
      </w:r>
    </w:p>
    <w:p w14:paraId="5D5EB395">
      <w:pPr>
        <w:jc w:val="center"/>
        <w:rPr>
          <w:rFonts w:hint="eastAsia" w:ascii="宋体" w:hAnsi="宋体" w:eastAsia="宋体"/>
          <w:sz w:val="18"/>
          <w:szCs w:val="18"/>
          <w:lang w:eastAsia="zh-CN"/>
        </w:rPr>
      </w:pPr>
    </w:p>
    <w:p w14:paraId="70E0C6FE">
      <w:pPr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 </w:t>
      </w:r>
    </w:p>
    <w:p w14:paraId="56307D56">
      <w:pPr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</w:t>
      </w:r>
    </w:p>
    <w:p w14:paraId="5877EF4C">
      <w:pPr>
        <w:jc w:val="center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                                               嘉兴银行股份有限公司</w:t>
      </w:r>
    </w:p>
    <w:p w14:paraId="1DD86CA3">
      <w:pPr>
        <w:jc w:val="center"/>
        <w:rPr>
          <w:b/>
        </w:rPr>
      </w:pPr>
      <w:r>
        <w:rPr>
          <w:rFonts w:hint="eastAsia" w:ascii="宋体" w:hAnsi="宋体"/>
          <w:sz w:val="22"/>
        </w:rPr>
        <w:t xml:space="preserve">                                                    </w:t>
      </w:r>
      <w:r>
        <w:rPr>
          <w:rFonts w:ascii="宋体" w:hAnsi="宋体"/>
          <w:sz w:val="22"/>
        </w:rPr>
        <w:t>202</w:t>
      </w:r>
      <w:r>
        <w:rPr>
          <w:rFonts w:hint="eastAsia" w:ascii="宋体" w:hAnsi="宋体"/>
          <w:sz w:val="22"/>
          <w:lang w:val="en-US" w:eastAsia="zh-CN"/>
        </w:rPr>
        <w:t>5</w:t>
      </w:r>
      <w:r>
        <w:rPr>
          <w:rFonts w:ascii="宋体" w:hAnsi="宋体"/>
          <w:sz w:val="22"/>
        </w:rPr>
        <w:t>年</w:t>
      </w:r>
      <w:r>
        <w:rPr>
          <w:rFonts w:hint="eastAsia" w:ascii="宋体" w:hAnsi="宋体"/>
          <w:sz w:val="22"/>
          <w:lang w:val="en-US" w:eastAsia="zh-CN"/>
        </w:rPr>
        <w:t>10</w:t>
      </w:r>
      <w:r>
        <w:rPr>
          <w:rFonts w:ascii="宋体" w:hAnsi="宋体"/>
          <w:sz w:val="22"/>
        </w:rPr>
        <w:t>月1</w:t>
      </w:r>
      <w:r>
        <w:rPr>
          <w:rFonts w:hint="eastAsia" w:ascii="宋体" w:hAnsi="宋体"/>
          <w:sz w:val="22"/>
          <w:lang w:val="en-US" w:eastAsia="zh-CN"/>
        </w:rPr>
        <w:t>1</w:t>
      </w:r>
      <w:r>
        <w:rPr>
          <w:rFonts w:ascii="宋体" w:hAnsi="宋体"/>
          <w:sz w:val="22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6B2465"/>
    <w:multiLevelType w:val="multilevel"/>
    <w:tmpl w:val="596B2465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1B07D7"/>
    <w:multiLevelType w:val="multilevel"/>
    <w:tmpl w:val="741B07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doNotLeaveBackslashAlone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Q4ZjkwYWNlZmE1OTAyZGY3ODg4ZTc0ODNjYjA1ZGUifQ=="/>
  </w:docVars>
  <w:rsids>
    <w:rsidRoot w:val="00000000"/>
    <w:rsid w:val="0057257B"/>
    <w:rsid w:val="01787946"/>
    <w:rsid w:val="02AB0DC7"/>
    <w:rsid w:val="031C07A5"/>
    <w:rsid w:val="07876C6B"/>
    <w:rsid w:val="09DB319E"/>
    <w:rsid w:val="1101791C"/>
    <w:rsid w:val="1B9B4FF0"/>
    <w:rsid w:val="1C2700B3"/>
    <w:rsid w:val="1C585C36"/>
    <w:rsid w:val="1F542115"/>
    <w:rsid w:val="204D579C"/>
    <w:rsid w:val="223D04A8"/>
    <w:rsid w:val="252C4420"/>
    <w:rsid w:val="2D8A6D43"/>
    <w:rsid w:val="343C2441"/>
    <w:rsid w:val="376A7AA6"/>
    <w:rsid w:val="39A23B63"/>
    <w:rsid w:val="3AA765CB"/>
    <w:rsid w:val="4B8C76C7"/>
    <w:rsid w:val="4F161A6C"/>
    <w:rsid w:val="5AF750AA"/>
    <w:rsid w:val="68CE2032"/>
    <w:rsid w:val="6EE40CDB"/>
    <w:rsid w:val="72D03A02"/>
    <w:rsid w:val="7AA95D06"/>
    <w:rsid w:val="7C03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qFormat/>
    <w:uiPriority w:val="99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table" w:styleId="8">
    <w:name w:val="Table Grid"/>
    <w:basedOn w:val="7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2 Char"/>
    <w:link w:val="2"/>
    <w:qFormat/>
    <w:uiPriority w:val="99"/>
    <w:rPr>
      <w:rFonts w:ascii="Cambria" w:hAnsi="Cambria"/>
      <w:b/>
      <w:bCs/>
      <w:kern w:val="2"/>
      <w:sz w:val="32"/>
      <w:szCs w:val="32"/>
    </w:rPr>
  </w:style>
  <w:style w:type="paragraph" w:customStyle="1" w:styleId="11">
    <w:name w:val="列出段落1"/>
    <w:basedOn w:val="1"/>
    <w:autoRedefine/>
    <w:qFormat/>
    <w:uiPriority w:val="0"/>
    <w:pPr>
      <w:ind w:firstLine="200"/>
    </w:pPr>
    <w:rPr>
      <w:szCs w:val="21"/>
    </w:rPr>
  </w:style>
  <w:style w:type="character" w:customStyle="1" w:styleId="12">
    <w:name w:val="页眉 Char"/>
    <w:basedOn w:val="9"/>
    <w:link w:val="5"/>
    <w:semiHidden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9"/>
    <w:link w:val="4"/>
    <w:semiHidden/>
    <w:qFormat/>
    <w:uiPriority w:val="99"/>
    <w:rPr>
      <w:kern w:val="2"/>
      <w:sz w:val="18"/>
      <w:szCs w:val="18"/>
    </w:rPr>
  </w:style>
  <w:style w:type="character" w:styleId="14">
    <w:name w:val="Placeholder Text"/>
    <w:basedOn w:val="9"/>
    <w:unhideWhenUsed/>
    <w:qFormat/>
    <w:uiPriority w:val="99"/>
    <w:rPr>
      <w:color w:val="808080"/>
    </w:rPr>
  </w:style>
  <w:style w:type="character" w:customStyle="1" w:styleId="15">
    <w:name w:val="批注框文本 Char"/>
    <w:basedOn w:val="9"/>
    <w:link w:val="3"/>
    <w:semiHidden/>
    <w:qFormat/>
    <w:uiPriority w:val="99"/>
    <w:rPr>
      <w:kern w:val="2"/>
      <w:sz w:val="18"/>
      <w:szCs w:val="18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550</Words>
  <Characters>706</Characters>
  <Lines>1</Lines>
  <Paragraphs>1</Paragraphs>
  <TotalTime>1</TotalTime>
  <ScaleCrop>false</ScaleCrop>
  <LinksUpToDate>false</LinksUpToDate>
  <CharactersWithSpaces>811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2023-02-17T07:08:00Z</dcterms:created>
  <dc:creator>luozuobo</dc:creator>
  <cp:lastModifiedBy>admin</cp:lastModifiedBy>
  <cp:lastPrinted>2024-07-12T00:37:00Z</cp:lastPrinted>
  <dcterms:modified xsi:type="dcterms:W3CDTF">2025-10-14T09:50:29Z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355F389FD15E4490BE6D94636EE91EBD</vt:lpwstr>
  </property>
  <property fmtid="{D5CDD505-2E9C-101B-9397-08002B2CF9AE}" pid="3" name="KSOProductBuildVer">
    <vt:lpwstr>2052-12.1.0.21915</vt:lpwstr>
  </property>
  <property fmtid="{D5CDD505-2E9C-101B-9397-08002B2CF9AE}" pid="4" name="KSOTemplateDocerSaveRecord">
    <vt:lpwstr>eyJoZGlkIjoiNDIwNTM5MjQ4MTBjNmI4MDViZjJkMWFlYzAwNjQ5NWIiLCJ1c2VySWQiOiIxNTI2NDY3MjI3In0=</vt:lpwstr>
  </property>
</Properties>
</file>