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972BE2">
      <w:pPr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嘉银2410期理财产品</w:t>
      </w:r>
      <w:r>
        <w:rPr>
          <w:rFonts w:ascii="宋体" w:hAnsi="宋体"/>
          <w:b/>
          <w:sz w:val="32"/>
          <w:szCs w:val="32"/>
        </w:rPr>
        <w:t>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3</w:t>
      </w:r>
      <w:r>
        <w:rPr>
          <w:rFonts w:ascii="宋体" w:hAnsi="宋体"/>
          <w:b/>
          <w:sz w:val="32"/>
          <w:szCs w:val="32"/>
        </w:rPr>
        <w:t>季度报告</w:t>
      </w:r>
    </w:p>
    <w:p w14:paraId="0697E390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6B61AF90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4598EFA6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76B5AA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05CF5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8F406A5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嘉银2410期理财产品</w:t>
            </w:r>
          </w:p>
        </w:tc>
      </w:tr>
      <w:tr w14:paraId="035F4D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2F837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E1741D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JYHC2410</w:t>
            </w:r>
          </w:p>
        </w:tc>
      </w:tr>
      <w:tr w14:paraId="07C4D2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1C548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0CAFCE4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C1092324000007</w:t>
            </w:r>
          </w:p>
        </w:tc>
      </w:tr>
      <w:tr w14:paraId="49BF05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94429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4D23C0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封闭式净值型</w:t>
            </w:r>
          </w:p>
        </w:tc>
      </w:tr>
      <w:tr w14:paraId="5EDE91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98A17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064C283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75,000,000.00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份</w:t>
            </w:r>
          </w:p>
        </w:tc>
      </w:tr>
      <w:tr w14:paraId="631102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BB152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FCDD3B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1402B0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39158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8B5F6F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3.6%-3.8%</w:t>
            </w:r>
          </w:p>
        </w:tc>
      </w:tr>
      <w:tr w14:paraId="1170EE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B887C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2894B56F">
            <w:pPr>
              <w:pStyle w:val="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14:paraId="689A75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BC74E82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4745A2F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宁波银行股份有限公司</w:t>
            </w:r>
          </w:p>
        </w:tc>
      </w:tr>
    </w:tbl>
    <w:p w14:paraId="3805AFCC">
      <w:pPr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</w:p>
    <w:p w14:paraId="32EDBC71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243D5BDE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33D4407F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3F7AC1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19928D0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2B4F9EC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0453964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FDC6754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0C976C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18FB079A">
            <w:pPr>
              <w:ind w:right="30" w:rightChars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30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3B80366A">
            <w:pPr>
              <w:ind w:right="30" w:rightChars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1.0675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BF9FE4C">
            <w:pPr>
              <w:ind w:right="30" w:rightChars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1.0675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684828A">
            <w:pPr>
              <w:ind w:right="30" w:rightChars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80,067,833.90</w:t>
            </w:r>
          </w:p>
        </w:tc>
      </w:tr>
    </w:tbl>
    <w:p w14:paraId="00E76D7D">
      <w:pPr>
        <w:ind w:firstLine="440"/>
        <w:jc w:val="center"/>
        <w:rPr>
          <w:rFonts w:ascii="宋体" w:hAnsi="宋体"/>
          <w:sz w:val="22"/>
        </w:rPr>
      </w:pPr>
    </w:p>
    <w:p w14:paraId="16BE5A37">
      <w:pPr>
        <w:ind w:firstLine="440"/>
        <w:jc w:val="center"/>
        <w:rPr>
          <w:rFonts w:ascii="宋体" w:hAnsi="宋体"/>
          <w:sz w:val="22"/>
        </w:rPr>
      </w:pPr>
    </w:p>
    <w:p w14:paraId="11954577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780B4193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本产品穿透前持仓以固定收益类资管计划为主，穿透后持仓以</w:t>
      </w:r>
      <w:r>
        <w:rPr>
          <w:rFonts w:hint="eastAsia" w:ascii="宋体" w:hAnsi="宋体"/>
          <w:sz w:val="22"/>
          <w:szCs w:val="22"/>
          <w:lang w:val="en-US" w:eastAsia="zh-CN"/>
        </w:rPr>
        <w:t>信托贷款和货币基金投资</w:t>
      </w:r>
      <w:r>
        <w:rPr>
          <w:rFonts w:hint="eastAsia" w:ascii="宋体" w:hAnsi="宋体"/>
          <w:sz w:val="22"/>
          <w:szCs w:val="22"/>
        </w:rPr>
        <w:t>为主，杠杆率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100.5008%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478450A7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6081F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3DF8E7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03EC2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562B6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E272DB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7BC3A9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  <w:tr w14:paraId="3D41A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6A2A9A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59D91D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3968B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25AE7A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486DA1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6B4D3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7C8A78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A0E743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02833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F1B2AC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7325B1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</w:tbl>
    <w:p w14:paraId="7B4AEC2A">
      <w:pPr>
        <w:rPr>
          <w:rFonts w:ascii="宋体" w:hAnsi="宋体"/>
          <w:b/>
          <w:bCs/>
          <w:sz w:val="22"/>
        </w:rPr>
      </w:pPr>
    </w:p>
    <w:p w14:paraId="4F4789D6">
      <w:pPr>
        <w:rPr>
          <w:rFonts w:ascii="宋体" w:hAnsi="宋体"/>
          <w:b/>
          <w:bCs/>
          <w:sz w:val="22"/>
        </w:rPr>
      </w:pPr>
    </w:p>
    <w:p w14:paraId="449D7BE2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350"/>
        <w:gridCol w:w="2985"/>
        <w:gridCol w:w="2190"/>
        <w:gridCol w:w="1350"/>
      </w:tblGrid>
      <w:tr w14:paraId="7ED33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47C2F24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05A6269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D47880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10A0328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88278F2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19BD3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31019C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4E9BA1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信托计划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DD492D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陆家嘴信托-锦绣23号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top"/>
          </w:tcPr>
          <w:p w14:paraId="56F2FC4A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69</w:t>
            </w: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732</w:t>
            </w: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000</w:t>
            </w: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top"/>
          </w:tcPr>
          <w:p w14:paraId="7616E581">
            <w:pPr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86.</w:t>
            </w: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66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%</w:t>
            </w:r>
          </w:p>
        </w:tc>
      </w:tr>
      <w:tr w14:paraId="22E32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AE283D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EABF0D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信托计划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B974CF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华润信托尊盈1号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top"/>
          </w:tcPr>
          <w:p w14:paraId="04407172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736</w:t>
            </w: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807.85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top"/>
          </w:tcPr>
          <w:p w14:paraId="2A40C0F0">
            <w:pPr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13.</w:t>
            </w: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34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%</w:t>
            </w:r>
          </w:p>
        </w:tc>
      </w:tr>
    </w:tbl>
    <w:p w14:paraId="6651DA40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6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35"/>
        <w:gridCol w:w="2970"/>
        <w:gridCol w:w="2250"/>
        <w:gridCol w:w="1335"/>
      </w:tblGrid>
      <w:tr w14:paraId="3F7C1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4914792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8033711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73968AB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A5D15B0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74C091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49B99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F7241D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92A1DF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信托贷款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7EC396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嘉善经济技术开发区实业有限公司DK12400X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EA37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62,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,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76A5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</w:p>
        </w:tc>
      </w:tr>
      <w:tr w14:paraId="222BF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8D1B13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D0AB89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基金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9282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财通财通宝B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F99F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5,675,666.46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0E770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7.05%</w:t>
            </w:r>
          </w:p>
        </w:tc>
      </w:tr>
      <w:tr w14:paraId="7D3DA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F42478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1D437C6">
            <w:pPr>
              <w:jc w:val="center"/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定向工具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EFBE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24南浔交通PPN002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96F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1,069,399.81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EDAFF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1.33%</w:t>
            </w:r>
          </w:p>
        </w:tc>
      </w:tr>
      <w:tr w14:paraId="7DF47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233A96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7658DC8">
            <w:pPr>
              <w:jc w:val="center"/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定向工具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D01A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24盐城高新PPN001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700D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1,063,635.20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1EBAC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1.32%</w:t>
            </w:r>
          </w:p>
        </w:tc>
      </w:tr>
      <w:tr w14:paraId="67CC7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A8A7CA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3F396F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E8C3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24上合02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E90F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1,037,956.72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34CBE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1.29%</w:t>
            </w:r>
          </w:p>
        </w:tc>
      </w:tr>
      <w:tr w14:paraId="1A45B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AC9B0D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39BD9B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226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24迪投02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28B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901,493.47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B2B8A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1.12%</w:t>
            </w:r>
          </w:p>
        </w:tc>
      </w:tr>
      <w:tr w14:paraId="67F92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C128C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413316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05B2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23新兴K2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B32D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865,983.85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3137E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1.08%</w:t>
            </w:r>
          </w:p>
        </w:tc>
      </w:tr>
      <w:tr w14:paraId="23154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4F9E24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1C1FFB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CC24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24浙太02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15F7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707,290.72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B0AF5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0.88%</w:t>
            </w:r>
          </w:p>
        </w:tc>
      </w:tr>
      <w:tr w14:paraId="0DABB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73936B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6D7190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5760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24修竹02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E7F3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694,059.24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D45A1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0.86%</w:t>
            </w:r>
          </w:p>
        </w:tc>
      </w:tr>
      <w:tr w14:paraId="188AA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396CE2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D36A65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0E1B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24南开02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A2BE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572,335.64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DBEEA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0.71%</w:t>
            </w:r>
          </w:p>
        </w:tc>
      </w:tr>
    </w:tbl>
    <w:p w14:paraId="6F2C2524"/>
    <w:p w14:paraId="02C664CB">
      <w:pPr>
        <w:pStyle w:val="11"/>
        <w:ind w:firstLine="0"/>
        <w:jc w:val="left"/>
        <w:rPr>
          <w:rFonts w:ascii="宋体" w:hAnsi="宋体"/>
          <w:b/>
          <w:bCs/>
          <w:sz w:val="22"/>
          <w:szCs w:val="21"/>
        </w:rPr>
      </w:pPr>
    </w:p>
    <w:p w14:paraId="03B02C4C">
      <w:pPr>
        <w:pStyle w:val="1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14:paraId="549153DA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2E31E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75F43A0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00F43B3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58AAC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2FC4C54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5297E4D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B2253782</w:t>
            </w:r>
          </w:p>
        </w:tc>
      </w:tr>
      <w:tr w14:paraId="01D7B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5FE5A199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6AB560B8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00000039133</w:t>
            </w:r>
          </w:p>
        </w:tc>
      </w:tr>
      <w:tr w14:paraId="46BC6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14C8433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  <w:vAlign w:val="top"/>
          </w:tcPr>
          <w:p w14:paraId="121CBD58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B884335189</w:t>
            </w:r>
          </w:p>
        </w:tc>
      </w:tr>
      <w:tr w14:paraId="3F5B5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2BA5398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  <w:vAlign w:val="top"/>
          </w:tcPr>
          <w:p w14:paraId="4AABF58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0899221276</w:t>
            </w:r>
          </w:p>
        </w:tc>
      </w:tr>
    </w:tbl>
    <w:p w14:paraId="32520338">
      <w:pPr>
        <w:jc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注：理财产品托管人宁波银行股份有限公司根据托管协议规定，复核了本报告中的财务指标、净值表现和资产组合报告等内容，保证复核内容不存在虚假记载、误导性陈述。</w:t>
      </w:r>
    </w:p>
    <w:p w14:paraId="04AB4E18">
      <w:pPr>
        <w:jc w:val="center"/>
        <w:rPr>
          <w:rFonts w:hint="eastAsia" w:ascii="宋体" w:hAnsi="宋体" w:eastAsia="宋体"/>
          <w:sz w:val="30"/>
          <w:szCs w:val="30"/>
          <w:lang w:eastAsia="zh-CN"/>
        </w:rPr>
      </w:pPr>
    </w:p>
    <w:p w14:paraId="6B5DF8E5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 w14:paraId="7C3961C5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 w14:paraId="6516FC75">
      <w:pPr>
        <w:jc w:val="center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                                               嘉兴银行股份有限公司</w:t>
      </w:r>
    </w:p>
    <w:p w14:paraId="06E4E4C8">
      <w:pPr>
        <w:jc w:val="center"/>
        <w:rPr>
          <w:szCs w:val="21"/>
        </w:rPr>
      </w:pPr>
      <w:r>
        <w:rPr>
          <w:rFonts w:hint="eastAsia" w:ascii="宋体" w:hAnsi="宋体"/>
          <w:sz w:val="22"/>
        </w:rPr>
        <w:t xml:space="preserve">                                                   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5</w:t>
      </w:r>
      <w:r>
        <w:rPr>
          <w:rFonts w:ascii="宋体" w:hAnsi="宋体"/>
          <w:sz w:val="22"/>
        </w:rPr>
        <w:t>年</w:t>
      </w:r>
      <w:r>
        <w:rPr>
          <w:rFonts w:hint="eastAsia" w:ascii="宋体" w:hAnsi="宋体"/>
          <w:sz w:val="22"/>
          <w:lang w:val="en-US" w:eastAsia="zh-CN"/>
        </w:rPr>
        <w:t>10</w:t>
      </w:r>
      <w:r>
        <w:rPr>
          <w:rFonts w:ascii="宋体" w:hAnsi="宋体"/>
          <w:sz w:val="22"/>
        </w:rPr>
        <w:t>月</w:t>
      </w:r>
      <w:r>
        <w:rPr>
          <w:rFonts w:hint="eastAsia" w:ascii="宋体" w:hAnsi="宋体"/>
          <w:sz w:val="22"/>
          <w:lang w:val="en-US" w:eastAsia="zh-CN"/>
        </w:rPr>
        <w:t>11</w:t>
      </w:r>
      <w:bookmarkStart w:id="0" w:name="_GoBack"/>
      <w:bookmarkEnd w:id="0"/>
      <w:r>
        <w:rPr>
          <w:rFonts w:ascii="宋体" w:hAnsi="宋体"/>
          <w:sz w:val="22"/>
        </w:rPr>
        <w:t>日</w:t>
      </w:r>
    </w:p>
    <w:p w14:paraId="768CD79B">
      <w:pPr>
        <w:jc w:val="center"/>
        <w:rPr>
          <w:b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BlYTZlOGZlNjgwZTkwOTUzNTM1MTFkZTdkYWMwNGMifQ=="/>
  </w:docVars>
  <w:rsids>
    <w:rsidRoot w:val="00000000"/>
    <w:rsid w:val="047F05B3"/>
    <w:rsid w:val="04F43098"/>
    <w:rsid w:val="0DAF62D6"/>
    <w:rsid w:val="0E132B83"/>
    <w:rsid w:val="12B01AFC"/>
    <w:rsid w:val="24DC33CC"/>
    <w:rsid w:val="263F1826"/>
    <w:rsid w:val="315460E4"/>
    <w:rsid w:val="32BC7A80"/>
    <w:rsid w:val="345C77B8"/>
    <w:rsid w:val="35471C01"/>
    <w:rsid w:val="37D80F30"/>
    <w:rsid w:val="3B7B5AF2"/>
    <w:rsid w:val="3EAF5F17"/>
    <w:rsid w:val="3F9F48E8"/>
    <w:rsid w:val="411235A7"/>
    <w:rsid w:val="42897D0F"/>
    <w:rsid w:val="43096EB3"/>
    <w:rsid w:val="45275092"/>
    <w:rsid w:val="49883A5B"/>
    <w:rsid w:val="49937580"/>
    <w:rsid w:val="4A592945"/>
    <w:rsid w:val="5A7240F0"/>
    <w:rsid w:val="5B8825EC"/>
    <w:rsid w:val="60F21182"/>
    <w:rsid w:val="629905F2"/>
    <w:rsid w:val="64E42AC3"/>
    <w:rsid w:val="6B3E1F63"/>
    <w:rsid w:val="76323A44"/>
    <w:rsid w:val="7B3A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autoRedefine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autoRedefine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autoRedefine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autoRedefine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autoRedefine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702</Words>
  <Characters>1064</Characters>
  <Lines>1</Lines>
  <Paragraphs>1</Paragraphs>
  <TotalTime>2</TotalTime>
  <ScaleCrop>false</ScaleCrop>
  <LinksUpToDate>false</LinksUpToDate>
  <CharactersWithSpaces>1176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裘洁</cp:lastModifiedBy>
  <cp:lastPrinted>2113-01-01T00:00:00Z</cp:lastPrinted>
  <dcterms:modified xsi:type="dcterms:W3CDTF">2025-10-11T08:10:22Z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2052-12.1.0.21915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