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宋体" w:hAnsi="宋体" w:cs="宋体"/>
          <w:sz w:val="44"/>
          <w:szCs w:val="44"/>
        </w:rPr>
      </w:pPr>
      <w:bookmarkStart w:id="0" w:name="_GoBack"/>
      <w:bookmarkEnd w:id="0"/>
      <w:r>
        <w:rPr>
          <w:rFonts w:hint="eastAsia" w:ascii="宋体" w:hAnsi="宋体" w:cs="宋体"/>
          <w:sz w:val="44"/>
          <w:szCs w:val="44"/>
        </w:rPr>
        <w:t>嘉兴银行2025-2027年度营业办公网点装饰工程施工单位框架协议采购项目</w:t>
      </w:r>
    </w:p>
    <w:p>
      <w:pPr>
        <w:spacing w:before="156" w:beforeLines="50"/>
        <w:jc w:val="center"/>
        <w:rPr>
          <w:rFonts w:ascii="宋体" w:hAnsi="宋体" w:cs="宋体"/>
          <w:sz w:val="44"/>
          <w:szCs w:val="44"/>
        </w:rPr>
      </w:pPr>
      <w:r>
        <w:rPr>
          <w:rFonts w:hint="eastAsia" w:ascii="宋体" w:hAnsi="宋体" w:cs="宋体"/>
          <w:sz w:val="44"/>
          <w:szCs w:val="44"/>
        </w:rPr>
        <w:t>公开招标采购公告</w:t>
      </w:r>
    </w:p>
    <w:p>
      <w:pPr>
        <w:pStyle w:val="5"/>
        <w:spacing w:before="156" w:beforeLines="50" w:after="0" w:line="480" w:lineRule="exact"/>
        <w:jc w:val="left"/>
        <w:rPr>
          <w:rFonts w:ascii="微软雅黑" w:hAnsi="微软雅黑" w:eastAsia="微软雅黑" w:cs="微软雅黑"/>
          <w:sz w:val="21"/>
          <w:szCs w:val="21"/>
        </w:rPr>
      </w:pPr>
      <w:r>
        <w:rPr>
          <w:rFonts w:hint="eastAsia" w:ascii="微软雅黑" w:hAnsi="微软雅黑" w:eastAsia="微软雅黑" w:cs="微软雅黑"/>
          <w:sz w:val="21"/>
          <w:szCs w:val="21"/>
        </w:rPr>
        <w:t xml:space="preserve">  根据《国有金融企业集中采购管理暂行规定》，嘉兴市千秋工程咨询有限公司受嘉兴银行股份有限公司的委托，现就以下项目进行公开招标，特欢迎国内合格的供应商前来投标，现将有关事项公告如下：</w:t>
      </w:r>
    </w:p>
    <w:p>
      <w:pPr>
        <w:snapToGrid w:val="0"/>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sz w:val="21"/>
          <w:szCs w:val="21"/>
        </w:rPr>
        <w:t>一、招标项目编号：</w:t>
      </w:r>
      <w:r>
        <w:rPr>
          <w:rFonts w:hint="eastAsia" w:ascii="微软雅黑" w:hAnsi="微软雅黑" w:eastAsia="微软雅黑" w:cs="微软雅黑"/>
          <w:bCs/>
          <w:sz w:val="21"/>
          <w:szCs w:val="21"/>
        </w:rPr>
        <w:t>千秋JXYH（2025）第（31）号</w:t>
      </w:r>
    </w:p>
    <w:p>
      <w:pPr>
        <w:snapToGrid w:val="0"/>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sz w:val="21"/>
          <w:szCs w:val="21"/>
        </w:rPr>
        <w:t>二、采购方式：</w:t>
      </w:r>
      <w:r>
        <w:rPr>
          <w:rFonts w:hint="eastAsia" w:ascii="微软雅黑" w:hAnsi="微软雅黑" w:eastAsia="微软雅黑" w:cs="微软雅黑"/>
          <w:bCs/>
          <w:sz w:val="21"/>
          <w:szCs w:val="21"/>
        </w:rPr>
        <w:t>公开招标</w:t>
      </w:r>
    </w:p>
    <w:p>
      <w:pPr>
        <w:snapToGrid w:val="0"/>
        <w:spacing w:before="0" w:after="0" w:line="480" w:lineRule="exact"/>
        <w:ind w:firstLine="420" w:firstLineChars="200"/>
        <w:rPr>
          <w:rFonts w:ascii="微软雅黑" w:hAnsi="微软雅黑" w:eastAsia="微软雅黑" w:cs="微软雅黑"/>
          <w:bCs/>
          <w:sz w:val="21"/>
          <w:szCs w:val="21"/>
        </w:rPr>
      </w:pPr>
      <w:r>
        <w:rPr>
          <w:rFonts w:hint="eastAsia" w:ascii="微软雅黑" w:hAnsi="微软雅黑" w:eastAsia="微软雅黑" w:cs="微软雅黑"/>
          <w:b/>
          <w:sz w:val="21"/>
          <w:szCs w:val="21"/>
        </w:rPr>
        <w:t>三、项目名称：</w:t>
      </w:r>
      <w:r>
        <w:rPr>
          <w:rFonts w:hint="eastAsia" w:ascii="微软雅黑" w:hAnsi="微软雅黑" w:eastAsia="微软雅黑" w:cs="微软雅黑"/>
          <w:bCs/>
          <w:sz w:val="21"/>
          <w:szCs w:val="21"/>
        </w:rPr>
        <w:t>嘉兴银行2025-2027年度营业办公网点装饰工程施工单位框架协议采购项目</w:t>
      </w:r>
    </w:p>
    <w:p>
      <w:pPr>
        <w:snapToGrid w:val="0"/>
        <w:spacing w:before="0" w:after="93" w:afterLines="30" w:line="480" w:lineRule="exact"/>
        <w:ind w:firstLine="420" w:firstLineChars="200"/>
        <w:rPr>
          <w:rFonts w:ascii="微软雅黑" w:hAnsi="微软雅黑" w:eastAsia="微软雅黑" w:cs="微软雅黑"/>
          <w:b/>
          <w:bCs/>
          <w:sz w:val="21"/>
          <w:szCs w:val="21"/>
        </w:rPr>
      </w:pPr>
      <w:r>
        <w:rPr>
          <w:rFonts w:hint="eastAsia" w:ascii="微软雅黑" w:hAnsi="微软雅黑" w:eastAsia="微软雅黑" w:cs="微软雅黑"/>
          <w:b/>
          <w:sz w:val="21"/>
          <w:szCs w:val="21"/>
        </w:rPr>
        <w:t>四、招标采购内容：</w:t>
      </w:r>
      <w:r>
        <w:rPr>
          <w:rFonts w:hint="eastAsia" w:ascii="微软雅黑" w:hAnsi="微软雅黑" w:eastAsia="微软雅黑" w:cs="微软雅黑"/>
          <w:b/>
          <w:bCs/>
          <w:sz w:val="21"/>
          <w:szCs w:val="21"/>
        </w:rPr>
        <w:t xml:space="preserve"> </w:t>
      </w:r>
    </w:p>
    <w:tbl>
      <w:tblPr>
        <w:tblStyle w:val="9"/>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F4F4"/>
        <w:tblLayout w:type="fixed"/>
        <w:tblCellMar>
          <w:top w:w="0" w:type="dxa"/>
          <w:left w:w="0" w:type="dxa"/>
          <w:bottom w:w="0" w:type="dxa"/>
          <w:right w:w="0" w:type="dxa"/>
        </w:tblCellMar>
      </w:tblPr>
      <w:tblGrid>
        <w:gridCol w:w="709"/>
        <w:gridCol w:w="2835"/>
        <w:gridCol w:w="993"/>
        <w:gridCol w:w="992"/>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atLeast"/>
          <w:jc w:val="center"/>
        </w:trPr>
        <w:tc>
          <w:tcPr>
            <w:tcW w:w="709" w:type="dxa"/>
            <w:shd w:val="clear" w:color="auto" w:fill="F4F4F4"/>
            <w:tcMar>
              <w:top w:w="0" w:type="dxa"/>
              <w:left w:w="108" w:type="dxa"/>
              <w:bottom w:w="0" w:type="dxa"/>
              <w:right w:w="108" w:type="dxa"/>
            </w:tcMar>
            <w:vAlign w:val="center"/>
          </w:tcPr>
          <w:p>
            <w:pPr>
              <w:spacing w:before="0" w:after="0" w:line="4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标项</w:t>
            </w:r>
          </w:p>
        </w:tc>
        <w:tc>
          <w:tcPr>
            <w:tcW w:w="2835" w:type="dxa"/>
            <w:shd w:val="clear" w:color="auto" w:fill="F4F4F4"/>
            <w:tcMar>
              <w:top w:w="0" w:type="dxa"/>
              <w:left w:w="108" w:type="dxa"/>
              <w:bottom w:w="0" w:type="dxa"/>
              <w:right w:w="108" w:type="dxa"/>
            </w:tcMar>
            <w:vAlign w:val="center"/>
          </w:tcPr>
          <w:p>
            <w:pPr>
              <w:spacing w:before="0" w:after="0" w:line="4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项目名称</w:t>
            </w:r>
          </w:p>
        </w:tc>
        <w:tc>
          <w:tcPr>
            <w:tcW w:w="993" w:type="dxa"/>
            <w:shd w:val="clear" w:color="auto" w:fill="F4F4F4"/>
            <w:tcMar>
              <w:top w:w="0" w:type="dxa"/>
              <w:left w:w="108" w:type="dxa"/>
              <w:bottom w:w="0" w:type="dxa"/>
              <w:right w:w="108" w:type="dxa"/>
            </w:tcMar>
            <w:vAlign w:val="center"/>
          </w:tcPr>
          <w:p>
            <w:pPr>
              <w:spacing w:before="0" w:after="0" w:line="4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单位</w:t>
            </w:r>
          </w:p>
        </w:tc>
        <w:tc>
          <w:tcPr>
            <w:tcW w:w="992" w:type="dxa"/>
            <w:shd w:val="clear" w:color="auto" w:fill="F4F4F4"/>
            <w:tcMar>
              <w:top w:w="0" w:type="dxa"/>
              <w:left w:w="108" w:type="dxa"/>
              <w:bottom w:w="0" w:type="dxa"/>
              <w:right w:w="108" w:type="dxa"/>
            </w:tcMar>
            <w:vAlign w:val="center"/>
          </w:tcPr>
          <w:p>
            <w:pPr>
              <w:spacing w:before="0" w:after="0" w:line="4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数量</w:t>
            </w:r>
          </w:p>
        </w:tc>
        <w:tc>
          <w:tcPr>
            <w:tcW w:w="1559" w:type="dxa"/>
            <w:shd w:val="clear" w:color="auto" w:fill="F4F4F4"/>
            <w:vAlign w:val="center"/>
          </w:tcPr>
          <w:p>
            <w:pPr>
              <w:spacing w:before="93" w:beforeLines="30" w:after="0" w:line="2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招标控制价</w:t>
            </w:r>
          </w:p>
        </w:tc>
        <w:tc>
          <w:tcPr>
            <w:tcW w:w="1276" w:type="dxa"/>
            <w:shd w:val="clear" w:color="auto" w:fill="F4F4F4"/>
            <w:vAlign w:val="center"/>
          </w:tcPr>
          <w:p>
            <w:pPr>
              <w:spacing w:before="0" w:after="0" w:line="4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0" w:hRule="atLeast"/>
          <w:jc w:val="center"/>
        </w:trPr>
        <w:tc>
          <w:tcPr>
            <w:tcW w:w="709" w:type="dxa"/>
            <w:shd w:val="clear" w:color="auto" w:fill="F4F4F4"/>
            <w:tcMar>
              <w:top w:w="0" w:type="dxa"/>
              <w:left w:w="108" w:type="dxa"/>
              <w:bottom w:w="0" w:type="dxa"/>
              <w:right w:w="108" w:type="dxa"/>
            </w:tcMar>
            <w:vAlign w:val="center"/>
          </w:tcPr>
          <w:p>
            <w:pPr>
              <w:spacing w:before="0" w:after="0" w:line="48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1</w:t>
            </w:r>
          </w:p>
        </w:tc>
        <w:tc>
          <w:tcPr>
            <w:tcW w:w="2835" w:type="dxa"/>
            <w:shd w:val="clear" w:color="auto" w:fill="F4F4F4"/>
            <w:tcMar>
              <w:top w:w="0" w:type="dxa"/>
              <w:left w:w="108" w:type="dxa"/>
              <w:bottom w:w="0" w:type="dxa"/>
              <w:right w:w="108" w:type="dxa"/>
            </w:tcMar>
            <w:vAlign w:val="center"/>
          </w:tcPr>
          <w:p>
            <w:pPr>
              <w:spacing w:before="0" w:after="0" w:line="360" w:lineRule="exact"/>
              <w:jc w:val="center"/>
              <w:rPr>
                <w:rFonts w:ascii="微软雅黑" w:hAnsi="微软雅黑" w:eastAsia="微软雅黑" w:cs="微软雅黑"/>
                <w:sz w:val="22"/>
                <w:szCs w:val="22"/>
              </w:rPr>
            </w:pPr>
            <w:r>
              <w:rPr>
                <w:rFonts w:hint="eastAsia" w:ascii="微软雅黑" w:hAnsi="微软雅黑" w:eastAsia="微软雅黑" w:cs="微软雅黑"/>
                <w:bCs/>
                <w:sz w:val="21"/>
                <w:szCs w:val="21"/>
              </w:rPr>
              <w:t>嘉兴银行2025-2027年度营业办公网点装饰工程施工单位框架协议采购项目</w:t>
            </w:r>
          </w:p>
        </w:tc>
        <w:tc>
          <w:tcPr>
            <w:tcW w:w="993" w:type="dxa"/>
            <w:shd w:val="clear" w:color="auto" w:fill="F4F4F4"/>
            <w:tcMar>
              <w:top w:w="0" w:type="dxa"/>
              <w:left w:w="108" w:type="dxa"/>
              <w:bottom w:w="0" w:type="dxa"/>
              <w:right w:w="108" w:type="dxa"/>
            </w:tcMar>
            <w:vAlign w:val="center"/>
          </w:tcPr>
          <w:p>
            <w:pPr>
              <w:spacing w:before="0" w:after="0"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项</w:t>
            </w:r>
          </w:p>
        </w:tc>
        <w:tc>
          <w:tcPr>
            <w:tcW w:w="992" w:type="dxa"/>
            <w:shd w:val="clear" w:color="auto" w:fill="F4F4F4"/>
            <w:tcMar>
              <w:top w:w="0" w:type="dxa"/>
              <w:left w:w="108" w:type="dxa"/>
              <w:bottom w:w="0" w:type="dxa"/>
              <w:right w:w="108" w:type="dxa"/>
            </w:tcMar>
            <w:vAlign w:val="center"/>
          </w:tcPr>
          <w:p>
            <w:pPr>
              <w:spacing w:before="0" w:after="0"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w:t>
            </w:r>
          </w:p>
        </w:tc>
        <w:tc>
          <w:tcPr>
            <w:tcW w:w="1559" w:type="dxa"/>
            <w:shd w:val="clear" w:color="auto" w:fill="F4F4F4"/>
            <w:vAlign w:val="center"/>
          </w:tcPr>
          <w:p>
            <w:pPr>
              <w:spacing w:before="0" w:after="0" w:line="480" w:lineRule="exact"/>
              <w:jc w:val="center"/>
              <w:rPr>
                <w:rFonts w:ascii="微软雅黑" w:hAnsi="微软雅黑" w:eastAsia="微软雅黑" w:cs="微软雅黑"/>
                <w:sz w:val="22"/>
                <w:szCs w:val="22"/>
              </w:rPr>
            </w:pPr>
            <w:r>
              <w:rPr>
                <w:rFonts w:hint="eastAsia" w:ascii="微软雅黑" w:hAnsi="微软雅黑" w:eastAsia="微软雅黑" w:cs="微软雅黑"/>
                <w:sz w:val="22"/>
                <w:szCs w:val="22"/>
              </w:rPr>
              <w:t>/</w:t>
            </w:r>
          </w:p>
        </w:tc>
        <w:tc>
          <w:tcPr>
            <w:tcW w:w="1276" w:type="dxa"/>
            <w:shd w:val="clear" w:color="auto" w:fill="F4F4F4"/>
            <w:vAlign w:val="center"/>
          </w:tcPr>
          <w:p>
            <w:pPr>
              <w:spacing w:before="0" w:after="0" w:line="480" w:lineRule="exact"/>
              <w:rPr>
                <w:rFonts w:ascii="微软雅黑" w:hAnsi="微软雅黑" w:eastAsia="微软雅黑" w:cs="微软雅黑"/>
                <w:kern w:val="0"/>
                <w:sz w:val="21"/>
                <w:szCs w:val="21"/>
              </w:rPr>
            </w:pPr>
          </w:p>
        </w:tc>
      </w:tr>
    </w:tbl>
    <w:p>
      <w:pPr>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sz w:val="21"/>
          <w:szCs w:val="21"/>
        </w:rPr>
        <w:t>五、合格投标人的资格要求:</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1、投标人符合《中华人民共和国政府采购法》第二十二条规定的资格条件；</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2、投标人未被“信用中国”（www.creditchina.gov.cn）、中国政府采购网（www.ccgp.gov.cn）列入失信被执行人、重大税收违法案件当事人名单、政府采购严重违法失信行为记录名单；</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3、本项目不接受联合体投标。</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4、企业资质：取得建筑装修装饰工程专业承包一级资质，同时具备消防设施工程专业承包贰级及以上资质；</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5、项目经理资质要求：须是本企业建筑工程一级建造师，并持有相应行政主管部门颁发的《安全生产考核合格证书》（B证），一级建造师相关证书须符合《住房和城乡建设部办公厅关于全面实行一级建造师电子注册证书的通知）》（建办市〔2021〕40号）规定，同时提供近半年社保缴纳记录；</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6、2022年1月1日以来，投标人承接过银行业装饰工程案例2个及以上，且合同金额在100万以上（含），需提供施工合同和中标通知书。</w:t>
      </w:r>
    </w:p>
    <w:p>
      <w:pPr>
        <w:snapToGrid w:val="0"/>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sz w:val="21"/>
          <w:szCs w:val="21"/>
        </w:rPr>
        <w:t>六、招标文件的获取：</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1、获取招标文件时间：2025年</w:t>
      </w:r>
      <w:r>
        <w:rPr>
          <w:rFonts w:ascii="微软雅黑" w:hAnsi="微软雅黑" w:eastAsia="微软雅黑" w:cs="微软雅黑"/>
          <w:bCs/>
          <w:sz w:val="21"/>
          <w:szCs w:val="21"/>
        </w:rPr>
        <w:t>09</w:t>
      </w:r>
      <w:r>
        <w:rPr>
          <w:rFonts w:hint="eastAsia" w:ascii="微软雅黑" w:hAnsi="微软雅黑" w:eastAsia="微软雅黑" w:cs="微软雅黑"/>
          <w:sz w:val="21"/>
          <w:szCs w:val="21"/>
        </w:rPr>
        <w:t>月</w:t>
      </w:r>
      <w:r>
        <w:rPr>
          <w:rFonts w:ascii="微软雅黑" w:hAnsi="微软雅黑" w:eastAsia="微软雅黑" w:cs="微软雅黑"/>
          <w:bCs/>
          <w:sz w:val="21"/>
          <w:szCs w:val="21"/>
        </w:rPr>
        <w:t>26</w:t>
      </w:r>
      <w:r>
        <w:rPr>
          <w:rFonts w:hint="eastAsia" w:ascii="微软雅黑" w:hAnsi="微软雅黑" w:eastAsia="微软雅黑" w:cs="微软雅黑"/>
          <w:sz w:val="21"/>
          <w:szCs w:val="21"/>
        </w:rPr>
        <w:t>日起至2025年</w:t>
      </w:r>
      <w:r>
        <w:rPr>
          <w:rFonts w:ascii="微软雅黑" w:hAnsi="微软雅黑" w:eastAsia="微软雅黑" w:cs="微软雅黑"/>
          <w:bCs/>
          <w:sz w:val="21"/>
          <w:szCs w:val="21"/>
        </w:rPr>
        <w:t>10</w:t>
      </w:r>
      <w:r>
        <w:rPr>
          <w:rFonts w:hint="eastAsia" w:ascii="微软雅黑" w:hAnsi="微软雅黑" w:eastAsia="微软雅黑" w:cs="微软雅黑"/>
          <w:sz w:val="21"/>
          <w:szCs w:val="21"/>
        </w:rPr>
        <w:t>月</w:t>
      </w:r>
      <w:r>
        <w:rPr>
          <w:rFonts w:ascii="微软雅黑" w:hAnsi="微软雅黑" w:eastAsia="微软雅黑" w:cs="微软雅黑"/>
          <w:bCs/>
          <w:sz w:val="21"/>
          <w:szCs w:val="21"/>
        </w:rPr>
        <w:t>15</w:t>
      </w:r>
      <w:r>
        <w:rPr>
          <w:rFonts w:hint="eastAsia" w:ascii="微软雅黑" w:hAnsi="微软雅黑" w:eastAsia="微软雅黑" w:cs="微软雅黑"/>
          <w:sz w:val="21"/>
          <w:szCs w:val="21"/>
        </w:rPr>
        <w:t>日</w:t>
      </w:r>
      <w:r>
        <w:rPr>
          <w:rFonts w:ascii="微软雅黑" w:hAnsi="微软雅黑" w:eastAsia="微软雅黑" w:cs="微软雅黑"/>
          <w:bCs/>
          <w:sz w:val="21"/>
          <w:szCs w:val="21"/>
        </w:rPr>
        <w:t>17</w:t>
      </w:r>
      <w:r>
        <w:rPr>
          <w:rFonts w:hint="eastAsia" w:ascii="微软雅黑" w:hAnsi="微软雅黑" w:eastAsia="微软雅黑" w:cs="微软雅黑"/>
          <w:sz w:val="21"/>
          <w:szCs w:val="21"/>
        </w:rPr>
        <w:t>时30分止（工作时间）；</w:t>
      </w:r>
    </w:p>
    <w:p>
      <w:pPr>
        <w:wordWrap w:val="0"/>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获取招标文件方式：本项目招标文件实行“嘉兴禾采联综合采购服务平台”在线获取，不提供招标文件纸质版，请登陆嘉兴禾采联综合采购服务平台（http://www.jxcqgs.cn/jxcqcg/）—“供应商登录”，免费注册完成后，下载获取后缀名为“.JXCQZF”的招标文件等。注册咨询、技术服务电话：0573-82813680。</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注：请供应商按上述要求获取招标文件，如未在嘉兴禾采联综合采购服务平台系统内完成相关流程，引起的投标无效责任自担。</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3、报名时间及方式：报名时间同招标文件获取时间。本项目实行网上报名，成功下载招标文件即视为报名成功。</w:t>
      </w:r>
    </w:p>
    <w:p>
      <w:pPr>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bCs/>
          <w:sz w:val="21"/>
          <w:szCs w:val="21"/>
        </w:rPr>
        <w:t>七、投标保证金：</w:t>
      </w:r>
      <w:r>
        <w:rPr>
          <w:rFonts w:hint="eastAsia" w:ascii="微软雅黑" w:hAnsi="微软雅黑" w:eastAsia="微软雅黑" w:cs="微软雅黑"/>
          <w:bCs/>
          <w:sz w:val="21"/>
          <w:szCs w:val="21"/>
        </w:rPr>
        <w:t>无。</w:t>
      </w:r>
    </w:p>
    <w:p>
      <w:pPr>
        <w:pStyle w:val="8"/>
        <w:widowControl/>
        <w:spacing w:before="0" w:beforeAutospacing="0" w:after="0" w:afterAutospacing="0" w:line="480" w:lineRule="exact"/>
        <w:ind w:firstLine="420" w:firstLineChars="200"/>
        <w:rPr>
          <w:rFonts w:ascii="微软雅黑" w:hAnsi="微软雅黑" w:eastAsia="微软雅黑" w:cs="微软雅黑"/>
          <w:b/>
          <w:bCs/>
          <w:kern w:val="2"/>
          <w:sz w:val="21"/>
          <w:szCs w:val="21"/>
        </w:rPr>
      </w:pPr>
      <w:r>
        <w:rPr>
          <w:rFonts w:hint="eastAsia" w:ascii="微软雅黑" w:hAnsi="微软雅黑" w:eastAsia="微软雅黑" w:cs="微软雅黑"/>
          <w:b/>
          <w:bCs/>
          <w:kern w:val="2"/>
          <w:sz w:val="21"/>
          <w:szCs w:val="21"/>
        </w:rPr>
        <w:t>八、投标截止时间：</w:t>
      </w:r>
    </w:p>
    <w:p>
      <w:pPr>
        <w:pStyle w:val="8"/>
        <w:widowControl/>
        <w:spacing w:before="0" w:beforeAutospacing="0" w:after="0" w:afterAutospacing="0" w:line="480" w:lineRule="exact"/>
        <w:ind w:firstLine="42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1、投标截止时间：</w:t>
      </w:r>
      <w:r>
        <w:rPr>
          <w:rFonts w:hint="eastAsia" w:ascii="微软雅黑" w:hAnsi="微软雅黑" w:eastAsia="微软雅黑" w:cs="微软雅黑"/>
          <w:b/>
          <w:bCs/>
          <w:kern w:val="2"/>
          <w:sz w:val="21"/>
          <w:szCs w:val="21"/>
        </w:rPr>
        <w:t>2025年</w:t>
      </w:r>
      <w:r>
        <w:rPr>
          <w:rFonts w:ascii="微软雅黑" w:hAnsi="微软雅黑" w:eastAsia="微软雅黑" w:cs="微软雅黑"/>
          <w:b/>
          <w:bCs/>
          <w:sz w:val="21"/>
          <w:szCs w:val="21"/>
        </w:rPr>
        <w:t>10</w:t>
      </w:r>
      <w:r>
        <w:rPr>
          <w:rFonts w:hint="eastAsia" w:ascii="微软雅黑" w:hAnsi="微软雅黑" w:eastAsia="微软雅黑" w:cs="微软雅黑"/>
          <w:b/>
          <w:bCs/>
          <w:kern w:val="2"/>
          <w:sz w:val="21"/>
          <w:szCs w:val="21"/>
        </w:rPr>
        <w:t>月</w:t>
      </w:r>
      <w:r>
        <w:rPr>
          <w:rFonts w:ascii="微软雅黑" w:hAnsi="微软雅黑" w:eastAsia="微软雅黑" w:cs="微软雅黑"/>
          <w:b/>
          <w:bCs/>
          <w:sz w:val="21"/>
          <w:szCs w:val="21"/>
        </w:rPr>
        <w:t>15</w:t>
      </w:r>
      <w:r>
        <w:rPr>
          <w:rFonts w:hint="eastAsia" w:ascii="微软雅黑" w:hAnsi="微软雅黑" w:eastAsia="微软雅黑" w:cs="微软雅黑"/>
          <w:b/>
          <w:bCs/>
          <w:kern w:val="2"/>
          <w:sz w:val="21"/>
          <w:szCs w:val="21"/>
        </w:rPr>
        <w:t>日</w:t>
      </w:r>
      <w:r>
        <w:rPr>
          <w:rFonts w:ascii="微软雅黑" w:hAnsi="微软雅黑" w:eastAsia="微软雅黑" w:cs="微软雅黑"/>
          <w:b/>
          <w:bCs/>
          <w:sz w:val="21"/>
          <w:szCs w:val="21"/>
        </w:rPr>
        <w:t>17</w:t>
      </w:r>
      <w:r>
        <w:rPr>
          <w:rFonts w:hint="eastAsia" w:ascii="微软雅黑" w:hAnsi="微软雅黑" w:eastAsia="微软雅黑" w:cs="微软雅黑"/>
          <w:b/>
          <w:bCs/>
          <w:sz w:val="21"/>
          <w:szCs w:val="21"/>
        </w:rPr>
        <w:t>时30分止</w:t>
      </w:r>
      <w:r>
        <w:rPr>
          <w:rFonts w:hint="eastAsia" w:ascii="微软雅黑" w:hAnsi="微软雅黑" w:eastAsia="微软雅黑" w:cs="微软雅黑"/>
          <w:sz w:val="21"/>
          <w:szCs w:val="21"/>
        </w:rPr>
        <w:t>，投标供应商须在投标截止时间前完成电子投标文件的上传</w:t>
      </w:r>
      <w:r>
        <w:rPr>
          <w:rFonts w:hint="eastAsia" w:ascii="微软雅黑" w:hAnsi="微软雅黑" w:eastAsia="微软雅黑" w:cs="微软雅黑"/>
          <w:kern w:val="2"/>
          <w:sz w:val="21"/>
          <w:szCs w:val="21"/>
        </w:rPr>
        <w:t>。</w:t>
      </w:r>
    </w:p>
    <w:p>
      <w:pPr>
        <w:pStyle w:val="8"/>
        <w:widowControl/>
        <w:wordWrap w:val="0"/>
        <w:spacing w:before="0" w:beforeAutospacing="0" w:after="0" w:afterAutospacing="0" w:line="480" w:lineRule="exact"/>
        <w:ind w:firstLine="42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2、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注：相关制作软件及操作手册请在嘉兴禾采联综合采购服务平台首页办事指南及下载中心自行下载。</w:t>
      </w:r>
    </w:p>
    <w:p>
      <w:pPr>
        <w:spacing w:before="0" w:after="0" w:line="480" w:lineRule="exact"/>
        <w:ind w:firstLine="420" w:firstLineChars="200"/>
        <w:rPr>
          <w:rFonts w:ascii="微软雅黑" w:hAnsi="微软雅黑" w:eastAsia="微软雅黑" w:cs="微软雅黑"/>
          <w:b/>
          <w:bCs/>
          <w:sz w:val="21"/>
          <w:szCs w:val="21"/>
        </w:rPr>
      </w:pPr>
      <w:r>
        <w:rPr>
          <w:rFonts w:ascii="微软雅黑" w:hAnsi="微软雅黑" w:eastAsia="微软雅黑" w:cs="微软雅黑"/>
          <w:b/>
          <w:bCs/>
          <w:sz w:val="21"/>
          <w:szCs w:val="21"/>
        </w:rPr>
        <w:t>九、开标时间及地点</w:t>
      </w:r>
      <w:r>
        <w:rPr>
          <w:rFonts w:hint="eastAsia" w:ascii="微软雅黑" w:hAnsi="微软雅黑" w:eastAsia="微软雅黑" w:cs="微软雅黑"/>
          <w:b/>
          <w:bCs/>
          <w:sz w:val="21"/>
          <w:szCs w:val="21"/>
        </w:rPr>
        <w:t>：</w:t>
      </w:r>
    </w:p>
    <w:p>
      <w:pPr>
        <w:spacing w:before="0" w:after="0" w:line="480" w:lineRule="exact"/>
        <w:ind w:firstLine="420" w:firstLineChars="200"/>
        <w:rPr>
          <w:rFonts w:ascii="微软雅黑" w:hAnsi="微软雅黑" w:eastAsia="微软雅黑" w:cs="微软雅黑"/>
          <w:sz w:val="21"/>
          <w:szCs w:val="21"/>
        </w:rPr>
      </w:pPr>
      <w:r>
        <w:rPr>
          <w:rFonts w:ascii="微软雅黑" w:hAnsi="微软雅黑" w:eastAsia="微软雅黑" w:cs="微软雅黑"/>
          <w:sz w:val="21"/>
          <w:szCs w:val="21"/>
        </w:rPr>
        <w:t>1、开标时间：</w:t>
      </w:r>
      <w:r>
        <w:rPr>
          <w:rFonts w:hint="eastAsia" w:ascii="微软雅黑" w:hAnsi="微软雅黑" w:eastAsia="微软雅黑" w:cs="微软雅黑"/>
          <w:b/>
          <w:bCs/>
          <w:sz w:val="21"/>
          <w:szCs w:val="21"/>
        </w:rPr>
        <w:t>2025年</w:t>
      </w:r>
      <w:r>
        <w:rPr>
          <w:rFonts w:ascii="微软雅黑" w:hAnsi="微软雅黑" w:eastAsia="微软雅黑" w:cs="微软雅黑"/>
          <w:b/>
          <w:bCs/>
          <w:sz w:val="21"/>
          <w:szCs w:val="21"/>
        </w:rPr>
        <w:t>10</w:t>
      </w:r>
      <w:r>
        <w:rPr>
          <w:rFonts w:hint="eastAsia" w:ascii="微软雅黑" w:hAnsi="微软雅黑" w:eastAsia="微软雅黑" w:cs="微软雅黑"/>
          <w:b/>
          <w:bCs/>
          <w:sz w:val="21"/>
          <w:szCs w:val="21"/>
        </w:rPr>
        <w:t>月</w:t>
      </w:r>
      <w:r>
        <w:rPr>
          <w:rFonts w:ascii="微软雅黑" w:hAnsi="微软雅黑" w:eastAsia="微软雅黑" w:cs="微软雅黑"/>
          <w:b/>
          <w:bCs/>
          <w:sz w:val="21"/>
          <w:szCs w:val="21"/>
        </w:rPr>
        <w:t>16</w:t>
      </w:r>
      <w:r>
        <w:rPr>
          <w:rFonts w:hint="eastAsia" w:ascii="微软雅黑" w:hAnsi="微软雅黑" w:eastAsia="微软雅黑" w:cs="微软雅黑"/>
          <w:b/>
          <w:bCs/>
          <w:sz w:val="21"/>
          <w:szCs w:val="21"/>
        </w:rPr>
        <w:t>日</w:t>
      </w:r>
      <w:r>
        <w:rPr>
          <w:rFonts w:ascii="微软雅黑" w:hAnsi="微软雅黑" w:eastAsia="微软雅黑" w:cs="微软雅黑"/>
          <w:b/>
          <w:bCs/>
          <w:sz w:val="21"/>
          <w:szCs w:val="21"/>
        </w:rPr>
        <w:t>09</w:t>
      </w:r>
      <w:r>
        <w:rPr>
          <w:rFonts w:hint="eastAsia" w:ascii="微软雅黑" w:hAnsi="微软雅黑" w:eastAsia="微软雅黑" w:cs="微软雅黑"/>
          <w:b/>
          <w:bCs/>
          <w:sz w:val="21"/>
          <w:szCs w:val="21"/>
        </w:rPr>
        <w:t>时</w:t>
      </w:r>
      <w:r>
        <w:rPr>
          <w:rFonts w:ascii="微软雅黑" w:hAnsi="微软雅黑" w:eastAsia="微软雅黑" w:cs="微软雅黑"/>
          <w:b/>
          <w:bCs/>
          <w:sz w:val="21"/>
          <w:szCs w:val="21"/>
        </w:rPr>
        <w:t>30</w:t>
      </w:r>
      <w:r>
        <w:rPr>
          <w:rFonts w:hint="eastAsia" w:ascii="微软雅黑" w:hAnsi="微软雅黑" w:eastAsia="微软雅黑" w:cs="微软雅黑"/>
          <w:b/>
          <w:bCs/>
          <w:sz w:val="21"/>
          <w:szCs w:val="21"/>
        </w:rPr>
        <w:t>分</w:t>
      </w:r>
      <w:r>
        <w:rPr>
          <w:rFonts w:ascii="微软雅黑" w:hAnsi="微软雅黑" w:eastAsia="微软雅黑" w:cs="微软雅黑"/>
          <w:sz w:val="21"/>
          <w:szCs w:val="21"/>
        </w:rPr>
        <w:t>。</w:t>
      </w:r>
    </w:p>
    <w:p>
      <w:pPr>
        <w:spacing w:before="0" w:after="0" w:line="480" w:lineRule="exact"/>
        <w:ind w:firstLine="420" w:firstLineChars="200"/>
        <w:rPr>
          <w:rFonts w:ascii="微软雅黑" w:hAnsi="微软雅黑" w:eastAsia="微软雅黑" w:cs="微软雅黑"/>
          <w:sz w:val="21"/>
          <w:szCs w:val="21"/>
        </w:rPr>
      </w:pPr>
      <w:r>
        <w:rPr>
          <w:rFonts w:ascii="微软雅黑" w:hAnsi="微软雅黑" w:eastAsia="微软雅黑" w:cs="微软雅黑"/>
          <w:sz w:val="21"/>
          <w:szCs w:val="21"/>
        </w:rPr>
        <w:t>2、开标地址：本次采用远程不见面开标，请投标人在开标前提前登录嘉兴禾采联综合采购服务平台（http://www.jxcqgs.cn/jxcqcg/）—“不见面开标”，登录成功后，参与线上开标流程，完成在线解密。本项目解密时长为 30 分钟，如未在规定时间内完成解密的，责任由投标人自负。</w:t>
      </w:r>
    </w:p>
    <w:p>
      <w:pPr>
        <w:spacing w:before="0" w:after="0" w:line="480" w:lineRule="exact"/>
        <w:ind w:firstLine="420" w:firstLineChars="200"/>
        <w:rPr>
          <w:rFonts w:ascii="微软雅黑" w:hAnsi="微软雅黑" w:eastAsia="微软雅黑" w:cs="微软雅黑"/>
          <w:b/>
          <w:bCs/>
          <w:sz w:val="21"/>
          <w:szCs w:val="21"/>
        </w:rPr>
      </w:pPr>
      <w:r>
        <w:rPr>
          <w:rFonts w:hint="eastAsia" w:ascii="微软雅黑" w:hAnsi="微软雅黑" w:eastAsia="微软雅黑" w:cs="微软雅黑"/>
          <w:b/>
          <w:bCs/>
          <w:sz w:val="21"/>
          <w:szCs w:val="21"/>
        </w:rPr>
        <w:t xml:space="preserve">十、平台费用说明： </w:t>
      </w:r>
    </w:p>
    <w:p>
      <w:pPr>
        <w:pStyle w:val="8"/>
        <w:widowControl/>
        <w:wordWrap w:val="0"/>
        <w:spacing w:before="0" w:beforeAutospacing="0" w:after="0" w:afterAutospacing="0" w:line="480" w:lineRule="exact"/>
        <w:ind w:firstLine="420"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1、投标人在报名时，需在线缴纳150元平台系统使用费；</w:t>
      </w:r>
    </w:p>
    <w:p>
      <w:pPr>
        <w:pStyle w:val="8"/>
        <w:widowControl/>
        <w:wordWrap w:val="0"/>
        <w:spacing w:before="0" w:beforeAutospacing="0" w:after="0" w:afterAutospacing="0" w:line="480" w:lineRule="exact"/>
        <w:ind w:firstLine="420" w:firstLineChars="200"/>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2、本项目中标人须向平台缴纳交易服务费，收费标准按《嘉兴禾采联综合采购服务平台收费标准》执行，详见嘉兴禾采联综合采购服务平台“办事指南”板块公告。</w:t>
      </w:r>
    </w:p>
    <w:p>
      <w:pPr>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sz w:val="21"/>
          <w:szCs w:val="21"/>
        </w:rPr>
        <w:t>十一、招标公告/更正公告发布于：</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w:t>
      </w:r>
      <w:r>
        <w:rPr>
          <w:rFonts w:ascii="微软雅黑" w:hAnsi="微软雅黑" w:eastAsia="微软雅黑" w:cs="微软雅黑"/>
          <w:sz w:val="21"/>
          <w:szCs w:val="21"/>
        </w:rPr>
        <w:t>嘉兴禾采联综合采购服务平台</w:t>
      </w:r>
      <w:r>
        <w:rPr>
          <w:rFonts w:hint="eastAsia" w:ascii="微软雅黑" w:hAnsi="微软雅黑" w:eastAsia="微软雅黑" w:cs="微软雅黑"/>
          <w:sz w:val="21"/>
          <w:szCs w:val="21"/>
        </w:rPr>
        <w:t>：</w:t>
      </w:r>
      <w:r>
        <w:rPr>
          <w:rFonts w:ascii="微软雅黑" w:hAnsi="微软雅黑" w:eastAsia="微软雅黑" w:cs="微软雅黑"/>
          <w:sz w:val="21"/>
          <w:szCs w:val="21"/>
        </w:rPr>
        <w:t>https://hcl.jxcqgs.cn/</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 xml:space="preserve">2、嘉兴银行官网：http://www.bojx.com/ </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3、浙江政府采购网：https://zfcg.czt.zj.gov.cn/site/home</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 xml:space="preserve">4、金采网：http://www.cfcpn.com/ </w:t>
      </w:r>
    </w:p>
    <w:p>
      <w:pPr>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sz w:val="21"/>
          <w:szCs w:val="21"/>
        </w:rPr>
        <w:t>十二、投标注意事项：</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远程不见面开标：是指将传统的开标场所搬到网上，采购人、供应商只需登录网上不见面开标大厅（http://www.jxcqgs.cn/BidOpening/bidhall/default/login），无需到开标现场参与即可进行投标文件在线解密、供应商在线提问、采购人在线回复等操作。</w:t>
      </w:r>
    </w:p>
    <w:p>
      <w:pPr>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sz w:val="21"/>
          <w:szCs w:val="21"/>
        </w:rPr>
        <w:t>CA锁和嘉兴市公共资源交易系统通用。</w:t>
      </w:r>
    </w:p>
    <w:p>
      <w:pPr>
        <w:spacing w:before="0" w:after="0" w:line="480" w:lineRule="exact"/>
        <w:ind w:firstLine="420" w:firstLineChars="200"/>
        <w:rPr>
          <w:rFonts w:ascii="微软雅黑" w:hAnsi="微软雅黑" w:eastAsia="微软雅黑" w:cs="微软雅黑"/>
          <w:b/>
          <w:sz w:val="21"/>
          <w:szCs w:val="21"/>
        </w:rPr>
      </w:pPr>
      <w:r>
        <w:rPr>
          <w:rFonts w:hint="eastAsia" w:ascii="微软雅黑" w:hAnsi="微软雅黑" w:eastAsia="微软雅黑" w:cs="微软雅黑"/>
          <w:b/>
          <w:bCs/>
          <w:sz w:val="21"/>
          <w:szCs w:val="21"/>
        </w:rPr>
        <w:t>十三、业务咨询：</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1、采购单位：嘉兴银行股份有限公司</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联系人：朱先生   电话：0573-82080177，13957391107</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2、招标代理：嘉兴市千秋工程咨询有限公司 </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联系人：朱先生   李先生      电话：0573-83705023，15990029547</w:t>
      </w:r>
    </w:p>
    <w:p>
      <w:pPr>
        <w:spacing w:before="0" w:after="0" w:line="480" w:lineRule="exact"/>
        <w:ind w:firstLine="420" w:firstLineChars="200"/>
        <w:rPr>
          <w:rFonts w:ascii="微软雅黑" w:hAnsi="微软雅黑" w:eastAsia="微软雅黑" w:cs="微软雅黑"/>
          <w:b/>
          <w:bCs/>
          <w:sz w:val="21"/>
          <w:szCs w:val="21"/>
        </w:rPr>
      </w:pPr>
      <w:r>
        <w:rPr>
          <w:rFonts w:hint="eastAsia" w:ascii="微软雅黑" w:hAnsi="微软雅黑" w:eastAsia="微软雅黑" w:cs="微软雅黑"/>
          <w:b/>
          <w:bCs/>
          <w:sz w:val="21"/>
          <w:szCs w:val="21"/>
        </w:rPr>
        <w:t>十四、采购监督：</w:t>
      </w:r>
    </w:p>
    <w:p>
      <w:pPr>
        <w:spacing w:before="0" w:after="0" w:line="480" w:lineRule="exact"/>
        <w:ind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嘉兴银行法律合规部王先生，电话：0573-82080071。</w:t>
      </w:r>
    </w:p>
    <w:p>
      <w:pPr>
        <w:spacing w:before="0" w:after="0" w:line="480" w:lineRule="exact"/>
        <w:ind w:firstLine="420" w:firstLineChars="200"/>
        <w:rPr>
          <w:rFonts w:ascii="微软雅黑" w:hAnsi="微软雅黑" w:eastAsia="微软雅黑" w:cs="微软雅黑"/>
          <w:b/>
          <w:bCs/>
          <w:sz w:val="21"/>
          <w:szCs w:val="21"/>
        </w:rPr>
      </w:pPr>
      <w:r>
        <w:rPr>
          <w:rFonts w:ascii="微软雅黑" w:hAnsi="微软雅黑" w:eastAsia="微软雅黑" w:cs="微软雅黑"/>
          <w:b/>
          <w:bCs/>
          <w:sz w:val="21"/>
          <w:szCs w:val="21"/>
        </w:rPr>
        <w:t>十</w:t>
      </w:r>
      <w:r>
        <w:rPr>
          <w:rFonts w:hint="eastAsia" w:ascii="微软雅黑" w:hAnsi="微软雅黑" w:eastAsia="微软雅黑" w:cs="微软雅黑"/>
          <w:b/>
          <w:bCs/>
          <w:sz w:val="21"/>
          <w:szCs w:val="21"/>
        </w:rPr>
        <w:t>五</w:t>
      </w:r>
      <w:r>
        <w:rPr>
          <w:rFonts w:ascii="微软雅黑" w:hAnsi="微软雅黑" w:eastAsia="微软雅黑" w:cs="微软雅黑"/>
          <w:b/>
          <w:bCs/>
          <w:sz w:val="21"/>
          <w:szCs w:val="21"/>
        </w:rPr>
        <w:t>、嘉兴禾采联咨询：</w:t>
      </w:r>
    </w:p>
    <w:p>
      <w:pPr>
        <w:spacing w:before="0" w:after="0" w:line="480" w:lineRule="exact"/>
        <w:ind w:firstLine="420" w:firstLineChars="200"/>
        <w:rPr>
          <w:rFonts w:ascii="微软雅黑" w:hAnsi="微软雅黑" w:eastAsia="微软雅黑" w:cs="微软雅黑"/>
          <w:sz w:val="21"/>
          <w:szCs w:val="21"/>
        </w:rPr>
      </w:pPr>
      <w:r>
        <w:rPr>
          <w:rFonts w:ascii="微软雅黑" w:hAnsi="微软雅黑" w:eastAsia="微软雅黑" w:cs="微软雅黑"/>
          <w:sz w:val="21"/>
          <w:szCs w:val="21"/>
        </w:rPr>
        <w:t>嘉兴禾采联综合采购服务平台联系电话：0573-82816090</w:t>
      </w:r>
      <w:r>
        <w:rPr>
          <w:rFonts w:hint="eastAsia" w:ascii="微软雅黑" w:hAnsi="微软雅黑" w:eastAsia="微软雅黑" w:cs="微软雅黑"/>
          <w:sz w:val="21"/>
          <w:szCs w:val="21"/>
        </w:rPr>
        <w:t>。</w:t>
      </w:r>
    </w:p>
    <w:p>
      <w:pPr>
        <w:spacing w:before="0" w:after="0" w:line="480" w:lineRule="exact"/>
        <w:ind w:firstLine="420" w:firstLineChars="200"/>
        <w:rPr>
          <w:rFonts w:ascii="微软雅黑" w:hAnsi="微软雅黑" w:eastAsia="微软雅黑" w:cs="微软雅黑"/>
          <w:sz w:val="21"/>
          <w:szCs w:val="21"/>
        </w:rPr>
      </w:pPr>
      <w:r>
        <w:rPr>
          <w:rFonts w:ascii="微软雅黑" w:hAnsi="微软雅黑" w:eastAsia="微软雅黑" w:cs="微软雅黑"/>
          <w:sz w:val="21"/>
          <w:szCs w:val="21"/>
        </w:rPr>
        <w:t>嘉兴禾采联综合采购服务平台技术支持电话：0573-82813680</w:t>
      </w:r>
      <w:r>
        <w:rPr>
          <w:rFonts w:hint="eastAsia" w:ascii="微软雅黑" w:hAnsi="微软雅黑" w:eastAsia="微软雅黑" w:cs="微软雅黑"/>
          <w:sz w:val="21"/>
          <w:szCs w:val="21"/>
        </w:rPr>
        <w:t>。</w:t>
      </w:r>
    </w:p>
    <w:p>
      <w:pPr>
        <w:spacing w:before="0" w:after="0" w:line="480" w:lineRule="exact"/>
        <w:rPr>
          <w:rFonts w:ascii="微软雅黑" w:hAnsi="微软雅黑" w:eastAsia="微软雅黑" w:cs="微软雅黑"/>
          <w:sz w:val="21"/>
          <w:szCs w:val="21"/>
        </w:rPr>
      </w:pPr>
    </w:p>
    <w:p>
      <w:pPr>
        <w:snapToGrid w:val="0"/>
        <w:spacing w:before="0" w:after="0" w:line="480" w:lineRule="exact"/>
        <w:ind w:firstLine="420" w:firstLineChars="200"/>
        <w:jc w:val="right"/>
        <w:rPr>
          <w:rFonts w:ascii="微软雅黑" w:hAnsi="微软雅黑" w:eastAsia="微软雅黑" w:cs="微软雅黑"/>
          <w:sz w:val="21"/>
          <w:szCs w:val="21"/>
        </w:rPr>
      </w:pPr>
      <w:r>
        <w:rPr>
          <w:rFonts w:hint="eastAsia" w:ascii="微软雅黑" w:hAnsi="微软雅黑" w:eastAsia="微软雅黑" w:cs="微软雅黑"/>
          <w:sz w:val="21"/>
          <w:szCs w:val="21"/>
        </w:rPr>
        <w:t>嘉兴银行股份有限公司</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rPr>
        <w:t>嘉兴市千秋工程咨询有限公司</w:t>
      </w:r>
    </w:p>
    <w:p>
      <w:pPr>
        <w:spacing w:before="0" w:after="0" w:line="480" w:lineRule="exact"/>
        <w:ind w:firstLine="420" w:firstLineChars="200"/>
        <w:jc w:val="right"/>
        <w:rPr>
          <w:rFonts w:ascii="微软雅黑" w:hAnsi="微软雅黑" w:eastAsia="微软雅黑" w:cs="微软雅黑"/>
          <w:sz w:val="21"/>
          <w:szCs w:val="21"/>
        </w:rPr>
      </w:pPr>
      <w:r>
        <w:rPr>
          <w:rFonts w:hint="eastAsia" w:ascii="微软雅黑" w:hAnsi="微软雅黑" w:eastAsia="微软雅黑" w:cs="微软雅黑"/>
          <w:sz w:val="21"/>
          <w:szCs w:val="21"/>
        </w:rPr>
        <w:t>2025年</w:t>
      </w:r>
      <w:r>
        <w:rPr>
          <w:rFonts w:ascii="微软雅黑" w:hAnsi="微软雅黑" w:eastAsia="微软雅黑" w:cs="微软雅黑"/>
          <w:sz w:val="21"/>
          <w:szCs w:val="21"/>
        </w:rPr>
        <w:t>09</w:t>
      </w:r>
      <w:r>
        <w:rPr>
          <w:rFonts w:hint="eastAsia" w:ascii="微软雅黑" w:hAnsi="微软雅黑" w:eastAsia="微软雅黑" w:cs="微软雅黑"/>
          <w:sz w:val="21"/>
          <w:szCs w:val="21"/>
        </w:rPr>
        <w:t>月</w:t>
      </w:r>
      <w:r>
        <w:rPr>
          <w:rFonts w:ascii="微软雅黑" w:hAnsi="微软雅黑" w:eastAsia="微软雅黑" w:cs="微软雅黑"/>
          <w:sz w:val="21"/>
          <w:szCs w:val="21"/>
        </w:rPr>
        <w:t>26</w:t>
      </w:r>
      <w:r>
        <w:rPr>
          <w:rFonts w:hint="eastAsia" w:ascii="微软雅黑" w:hAnsi="微软雅黑" w:eastAsia="微软雅黑" w:cs="微软雅黑"/>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E7C27"/>
    <w:rsid w:val="00725E5D"/>
    <w:rsid w:val="00C13DE4"/>
    <w:rsid w:val="00E17BA2"/>
    <w:rsid w:val="00E73B80"/>
    <w:rsid w:val="00F05E63"/>
    <w:rsid w:val="071E7C27"/>
    <w:rsid w:val="7968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20" w:after="120"/>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customStyle="1" w:styleId="2">
    <w:name w:val="Char"/>
    <w:basedOn w:val="1"/>
    <w:qFormat/>
    <w:uiPriority w:val="0"/>
    <w:pPr>
      <w:widowControl/>
      <w:spacing w:after="160" w:line="240" w:lineRule="exact"/>
      <w:jc w:val="left"/>
    </w:pPr>
  </w:style>
  <w:style w:type="paragraph" w:styleId="3">
    <w:name w:val="Body Text"/>
    <w:basedOn w:val="1"/>
    <w:next w:val="4"/>
    <w:qFormat/>
    <w:uiPriority w:val="0"/>
  </w:style>
  <w:style w:type="paragraph" w:styleId="4">
    <w:name w:val="Body Text First Indent"/>
    <w:basedOn w:val="3"/>
    <w:next w:val="1"/>
    <w:qFormat/>
    <w:uiPriority w:val="0"/>
    <w:pPr>
      <w:ind w:firstLine="200"/>
    </w:pPr>
    <w:rPr>
      <w:rFonts w:ascii="Calibri" w:hAnsi="Calibri"/>
      <w:bCs/>
    </w:rPr>
  </w:style>
  <w:style w:type="paragraph" w:styleId="5">
    <w:name w:val="Plain Text"/>
    <w:basedOn w:val="1"/>
    <w:next w:val="3"/>
    <w:qFormat/>
    <w:uiPriority w:val="0"/>
    <w:rPr>
      <w:rFonts w:ascii="宋体" w:hAnsi="Courier New"/>
      <w:szCs w:val="20"/>
    </w:rPr>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rPr>
  </w:style>
  <w:style w:type="character" w:customStyle="1" w:styleId="11">
    <w:name w:val="页眉 Char"/>
    <w:basedOn w:val="10"/>
    <w:link w:val="7"/>
    <w:qFormat/>
    <w:uiPriority w:val="0"/>
    <w:rPr>
      <w:kern w:val="2"/>
      <w:sz w:val="18"/>
      <w:szCs w:val="18"/>
    </w:rPr>
  </w:style>
  <w:style w:type="character" w:customStyle="1" w:styleId="12">
    <w:name w:val="页脚 Char"/>
    <w:basedOn w:val="10"/>
    <w:link w:val="6"/>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337</Words>
  <Characters>1927</Characters>
  <Lines>16</Lines>
  <Paragraphs>4</Paragraphs>
  <TotalTime>42</TotalTime>
  <ScaleCrop>false</ScaleCrop>
  <LinksUpToDate>false</LinksUpToDate>
  <CharactersWithSpaces>2260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2025-09-24T06:14:00Z</dcterms:created>
  <dc:creator>admin</dc:creator>
  <cp:lastModifiedBy>admin</cp:lastModifiedBy>
  <dcterms:modified xsi:type="dcterms:W3CDTF">2025-09-26T06:57:05Z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