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0" w:rightChars="0" w:firstLine="327" w:firstLineChars="109"/>
        <w:jc w:val="center"/>
        <w:textAlignment w:val="auto"/>
        <w:outlineLvl w:val="0"/>
        <w:rPr>
          <w:rFonts w:hint="eastAsia" w:ascii="微软雅黑" w:hAnsi="微软雅黑" w:eastAsia="微软雅黑" w:cs="微软雅黑"/>
          <w:sz w:val="21"/>
          <w:szCs w:val="21"/>
          <w:highlight w:val="none"/>
        </w:rPr>
      </w:pPr>
      <w:bookmarkStart w:id="1" w:name="_GoBack"/>
      <w:bookmarkStart w:id="0" w:name="_Toc10024"/>
      <w:r>
        <w:rPr>
          <w:rFonts w:hint="eastAsia" w:ascii="微软雅黑" w:hAnsi="微软雅黑" w:eastAsia="微软雅黑" w:cs="微软雅黑"/>
          <w:sz w:val="30"/>
          <w:szCs w:val="30"/>
          <w:highlight w:val="none"/>
          <w:lang w:val="en-US" w:eastAsia="zh-CN"/>
        </w:rPr>
        <w:t>嘉兴银行2025年度自助设备维保服务项目</w:t>
      </w:r>
      <w:r>
        <w:rPr>
          <w:rFonts w:hint="eastAsia" w:ascii="微软雅黑" w:hAnsi="微软雅黑" w:eastAsia="微软雅黑" w:cs="微软雅黑"/>
          <w:sz w:val="30"/>
          <w:szCs w:val="30"/>
          <w:highlight w:val="none"/>
        </w:rPr>
        <w:t>公开招标采购公告</w:t>
      </w:r>
      <w:bookmarkEnd w:id="0"/>
    </w:p>
    <w:bookmarkEnd w:id="1"/>
    <w:p>
      <w:pPr>
        <w:pStyle w:val="6"/>
        <w:keepNext w:val="0"/>
        <w:keepLines w:val="0"/>
        <w:pageBreakBefore w:val="0"/>
        <w:widowControl w:val="0"/>
        <w:kinsoku/>
        <w:wordWrap/>
        <w:overflowPunct/>
        <w:topLinePunct w:val="0"/>
        <w:autoSpaceDE/>
        <w:autoSpaceDN/>
        <w:bidi w:val="0"/>
        <w:adjustRightInd/>
        <w:spacing w:before="156" w:beforeLines="50" w:after="0" w:line="480" w:lineRule="exact"/>
        <w:ind w:left="0" w:leftChars="0" w:right="0" w:rightChars="0"/>
        <w:jc w:val="left"/>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根据《国有金融企业集中采购管理暂行规定》，浙江科佳工程咨询有限公司受</w:t>
      </w:r>
      <w:r>
        <w:rPr>
          <w:rFonts w:hint="eastAsia" w:ascii="微软雅黑" w:hAnsi="微软雅黑" w:eastAsia="微软雅黑" w:cs="微软雅黑"/>
          <w:sz w:val="21"/>
          <w:szCs w:val="21"/>
          <w:highlight w:val="none"/>
          <w:lang w:eastAsia="zh-CN"/>
        </w:rPr>
        <w:t>嘉兴银行股份有限公司</w:t>
      </w:r>
      <w:r>
        <w:rPr>
          <w:rFonts w:hint="eastAsia" w:ascii="微软雅黑" w:hAnsi="微软雅黑" w:eastAsia="微软雅黑" w:cs="微软雅黑"/>
          <w:sz w:val="21"/>
          <w:szCs w:val="21"/>
          <w:highlight w:val="none"/>
        </w:rPr>
        <w:t>的委托，现就以下项目进行公开招标，特</w:t>
      </w:r>
      <w:r>
        <w:rPr>
          <w:rFonts w:hint="eastAsia" w:ascii="微软雅黑" w:hAnsi="微软雅黑" w:eastAsia="微软雅黑" w:cs="微软雅黑"/>
          <w:sz w:val="21"/>
          <w:szCs w:val="21"/>
          <w:highlight w:val="none"/>
          <w:lang w:val="en-US" w:eastAsia="zh-CN"/>
        </w:rPr>
        <w:t>欢迎</w:t>
      </w:r>
      <w:r>
        <w:rPr>
          <w:rFonts w:hint="eastAsia" w:ascii="微软雅黑" w:hAnsi="微软雅黑" w:eastAsia="微软雅黑" w:cs="微软雅黑"/>
          <w:sz w:val="21"/>
          <w:szCs w:val="21"/>
          <w:highlight w:val="none"/>
        </w:rPr>
        <w:t>国内合格的供应商前来投标，现将有关事项公告如下：</w:t>
      </w:r>
    </w:p>
    <w:p>
      <w:pPr>
        <w:keepNext w:val="0"/>
        <w:keepLines w:val="0"/>
        <w:pageBreakBefore w:val="0"/>
        <w:widowControl w:val="0"/>
        <w:kinsoku/>
        <w:wordWrap/>
        <w:overflowPunct/>
        <w:topLinePunct w:val="0"/>
        <w:autoSpaceDE/>
        <w:autoSpaceDN/>
        <w:bidi w:val="0"/>
        <w:adjustRightInd/>
        <w:snapToGrid w:val="0"/>
        <w:spacing w:before="0" w:after="0" w:line="480" w:lineRule="exact"/>
        <w:ind w:left="0" w:leftChars="0" w:right="0" w:rightChars="0" w:firstLine="420" w:firstLineChars="200"/>
        <w:textAlignment w:val="auto"/>
        <w:outlineLvl w:val="9"/>
        <w:rPr>
          <w:rFonts w:hint="default" w:ascii="微软雅黑" w:hAnsi="微软雅黑" w:eastAsia="微软雅黑" w:cs="微软雅黑"/>
          <w:b/>
          <w:sz w:val="21"/>
          <w:szCs w:val="21"/>
          <w:highlight w:val="none"/>
          <w:lang w:val="en-US"/>
        </w:rPr>
      </w:pPr>
      <w:r>
        <w:rPr>
          <w:rFonts w:hint="eastAsia" w:ascii="微软雅黑" w:hAnsi="微软雅黑" w:eastAsia="微软雅黑" w:cs="微软雅黑"/>
          <w:b/>
          <w:sz w:val="21"/>
          <w:szCs w:val="21"/>
          <w:highlight w:val="none"/>
        </w:rPr>
        <w:t>一、招标项目编号</w:t>
      </w:r>
      <w:r>
        <w:rPr>
          <w:rFonts w:hint="eastAsia" w:ascii="微软雅黑" w:hAnsi="微软雅黑" w:eastAsia="微软雅黑" w:cs="微软雅黑"/>
          <w:b/>
          <w:sz w:val="21"/>
          <w:szCs w:val="21"/>
          <w:highlight w:val="none"/>
          <w:lang w:eastAsia="zh-CN"/>
        </w:rPr>
        <w:t>：</w:t>
      </w:r>
      <w:r>
        <w:rPr>
          <w:rFonts w:hint="eastAsia" w:ascii="微软雅黑" w:hAnsi="微软雅黑" w:eastAsia="微软雅黑" w:cs="微软雅黑"/>
          <w:b w:val="0"/>
          <w:bCs/>
          <w:sz w:val="21"/>
          <w:szCs w:val="21"/>
          <w:highlight w:val="none"/>
          <w:lang w:val="en-US" w:eastAsia="zh-CN"/>
        </w:rPr>
        <w:t>KJ2025-12</w:t>
      </w:r>
    </w:p>
    <w:p>
      <w:pPr>
        <w:keepNext w:val="0"/>
        <w:keepLines w:val="0"/>
        <w:pageBreakBefore w:val="0"/>
        <w:widowControl w:val="0"/>
        <w:kinsoku/>
        <w:wordWrap/>
        <w:overflowPunct/>
        <w:topLinePunct w:val="0"/>
        <w:autoSpaceDE/>
        <w:autoSpaceDN/>
        <w:bidi w:val="0"/>
        <w:adjustRightInd/>
        <w:snapToGrid w:val="0"/>
        <w:spacing w:before="0" w:after="0" w:line="480" w:lineRule="exact"/>
        <w:ind w:left="0" w:leftChars="0" w:right="0" w:rightChars="0" w:firstLine="420" w:firstLineChars="200"/>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lang w:val="en-US" w:eastAsia="zh-CN"/>
        </w:rPr>
        <w:t>二、</w:t>
      </w:r>
      <w:r>
        <w:rPr>
          <w:rFonts w:hint="eastAsia" w:ascii="微软雅黑" w:hAnsi="微软雅黑" w:eastAsia="微软雅黑" w:cs="微软雅黑"/>
          <w:b/>
          <w:sz w:val="21"/>
          <w:szCs w:val="21"/>
          <w:highlight w:val="none"/>
        </w:rPr>
        <w:t>采购方式：</w:t>
      </w:r>
      <w:r>
        <w:rPr>
          <w:rFonts w:hint="eastAsia" w:ascii="微软雅黑" w:hAnsi="微软雅黑" w:eastAsia="微软雅黑" w:cs="微软雅黑"/>
          <w:b w:val="0"/>
          <w:bCs/>
          <w:sz w:val="21"/>
          <w:szCs w:val="21"/>
          <w:highlight w:val="none"/>
        </w:rPr>
        <w:t>公开招标</w:t>
      </w:r>
    </w:p>
    <w:p>
      <w:pPr>
        <w:keepNext w:val="0"/>
        <w:keepLines w:val="0"/>
        <w:pageBreakBefore w:val="0"/>
        <w:widowControl w:val="0"/>
        <w:kinsoku/>
        <w:wordWrap/>
        <w:overflowPunct/>
        <w:topLinePunct w:val="0"/>
        <w:autoSpaceDE/>
        <w:autoSpaceDN/>
        <w:bidi w:val="0"/>
        <w:adjustRightInd/>
        <w:snapToGrid w:val="0"/>
        <w:spacing w:before="0" w:after="0" w:line="480" w:lineRule="exact"/>
        <w:ind w:left="0" w:leftChars="0" w:right="0" w:rightChars="0" w:firstLine="420" w:firstLineChars="200"/>
        <w:textAlignment w:val="auto"/>
        <w:outlineLvl w:val="9"/>
        <w:rPr>
          <w:rFonts w:hint="eastAsia" w:ascii="微软雅黑" w:hAnsi="微软雅黑" w:eastAsia="微软雅黑" w:cs="微软雅黑"/>
          <w:b w:val="0"/>
          <w:bCs/>
          <w:sz w:val="21"/>
          <w:szCs w:val="21"/>
          <w:highlight w:val="none"/>
          <w:lang w:eastAsia="zh-CN"/>
        </w:rPr>
      </w:pPr>
      <w:r>
        <w:rPr>
          <w:rFonts w:hint="eastAsia" w:ascii="微软雅黑" w:hAnsi="微软雅黑" w:eastAsia="微软雅黑" w:cs="微软雅黑"/>
          <w:b/>
          <w:sz w:val="21"/>
          <w:szCs w:val="21"/>
          <w:highlight w:val="none"/>
        </w:rPr>
        <w:t>三、项目名称：</w:t>
      </w:r>
      <w:r>
        <w:rPr>
          <w:rFonts w:hint="eastAsia" w:ascii="微软雅黑" w:hAnsi="微软雅黑" w:eastAsia="微软雅黑" w:cs="微软雅黑"/>
          <w:b w:val="0"/>
          <w:bCs/>
          <w:sz w:val="21"/>
          <w:szCs w:val="21"/>
          <w:highlight w:val="none"/>
          <w:lang w:val="en-US" w:eastAsia="zh-CN"/>
        </w:rPr>
        <w:t>嘉兴银行2025年度自助设备维保服务项目</w:t>
      </w:r>
    </w:p>
    <w:p>
      <w:pPr>
        <w:keepNext w:val="0"/>
        <w:keepLines w:val="0"/>
        <w:pageBreakBefore w:val="0"/>
        <w:widowControl w:val="0"/>
        <w:kinsoku/>
        <w:wordWrap/>
        <w:overflowPunct/>
        <w:topLinePunct w:val="0"/>
        <w:autoSpaceDE/>
        <w:autoSpaceDN/>
        <w:bidi w:val="0"/>
        <w:adjustRightInd/>
        <w:snapToGrid w:val="0"/>
        <w:spacing w:before="0" w:after="95" w:afterLines="30" w:line="480" w:lineRule="exact"/>
        <w:ind w:left="0" w:leftChars="0" w:right="0" w:rightChars="0" w:firstLine="420" w:firstLineChars="200"/>
        <w:jc w:val="both"/>
        <w:textAlignment w:val="auto"/>
        <w:outlineLvl w:val="9"/>
        <w:rPr>
          <w:rFonts w:hint="eastAsia" w:ascii="微软雅黑" w:hAnsi="微软雅黑" w:eastAsia="微软雅黑" w:cs="微软雅黑"/>
          <w:b/>
          <w:bCs/>
          <w:sz w:val="21"/>
          <w:szCs w:val="21"/>
          <w:highlight w:val="none"/>
        </w:rPr>
      </w:pPr>
      <w:r>
        <w:rPr>
          <w:rFonts w:hint="eastAsia" w:ascii="微软雅黑" w:hAnsi="微软雅黑" w:eastAsia="微软雅黑" w:cs="微软雅黑"/>
          <w:b/>
          <w:sz w:val="21"/>
          <w:szCs w:val="21"/>
          <w:highlight w:val="none"/>
        </w:rPr>
        <w:t>四、招标采购内容：</w:t>
      </w:r>
      <w:r>
        <w:rPr>
          <w:rFonts w:hint="eastAsia" w:ascii="微软雅黑" w:hAnsi="微软雅黑" w:eastAsia="微软雅黑" w:cs="微软雅黑"/>
          <w:b/>
          <w:bCs/>
          <w:sz w:val="21"/>
          <w:szCs w:val="21"/>
          <w:highlight w:val="none"/>
        </w:rPr>
        <w:t xml:space="preserve"> </w:t>
      </w:r>
    </w:p>
    <w:tbl>
      <w:tblPr>
        <w:tblStyle w:val="9"/>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
      <w:tblGrid>
        <w:gridCol w:w="709"/>
        <w:gridCol w:w="2835"/>
        <w:gridCol w:w="993"/>
        <w:gridCol w:w="992"/>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559"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标项</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项目名称</w:t>
            </w:r>
          </w:p>
        </w:tc>
        <w:tc>
          <w:tcPr>
            <w:tcW w:w="993"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单位</w:t>
            </w:r>
          </w:p>
        </w:tc>
        <w:tc>
          <w:tcPr>
            <w:tcW w:w="992"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数量</w:t>
            </w:r>
          </w:p>
        </w:tc>
        <w:tc>
          <w:tcPr>
            <w:tcW w:w="1559" w:type="dxa"/>
            <w:shd w:val="clear" w:color="auto" w:fill="F4F4F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after="0" w:line="28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招标控制价</w:t>
            </w:r>
          </w:p>
        </w:tc>
        <w:tc>
          <w:tcPr>
            <w:tcW w:w="1276"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960"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1</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sz w:val="21"/>
                <w:szCs w:val="21"/>
                <w:highlight w:val="none"/>
                <w:lang w:val="en-US" w:eastAsia="zh-CN"/>
              </w:rPr>
              <w:t>嘉兴银行2025年度自助设备维保服务项目</w:t>
            </w:r>
          </w:p>
        </w:tc>
        <w:tc>
          <w:tcPr>
            <w:tcW w:w="993"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eastAsia"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项</w:t>
            </w:r>
          </w:p>
        </w:tc>
        <w:tc>
          <w:tcPr>
            <w:tcW w:w="992"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eastAsia"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1</w:t>
            </w:r>
          </w:p>
        </w:tc>
        <w:tc>
          <w:tcPr>
            <w:tcW w:w="1559"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80" w:lineRule="exact"/>
              <w:ind w:left="0"/>
              <w:jc w:val="center"/>
              <w:textAlignment w:val="auto"/>
              <w:rPr>
                <w:rFonts w:hint="default" w:ascii="微软雅黑" w:hAnsi="微软雅黑" w:eastAsia="微软雅黑" w:cs="微软雅黑"/>
                <w:b w:val="0"/>
                <w:bCs w:val="0"/>
                <w:sz w:val="22"/>
                <w:szCs w:val="22"/>
                <w:highlight w:val="none"/>
                <w:lang w:val="en-US"/>
              </w:rPr>
            </w:pPr>
            <w:r>
              <w:rPr>
                <w:rFonts w:hint="eastAsia" w:ascii="微软雅黑" w:hAnsi="微软雅黑" w:eastAsia="微软雅黑" w:cs="微软雅黑"/>
                <w:b w:val="0"/>
                <w:bCs w:val="0"/>
                <w:sz w:val="22"/>
                <w:szCs w:val="22"/>
                <w:highlight w:val="none"/>
                <w:lang w:val="en-US" w:eastAsia="zh-CN"/>
              </w:rPr>
              <w:t>490,500.00</w:t>
            </w:r>
          </w:p>
        </w:tc>
        <w:tc>
          <w:tcPr>
            <w:tcW w:w="1276"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80" w:lineRule="exact"/>
              <w:ind w:left="0"/>
              <w:textAlignment w:val="auto"/>
              <w:rPr>
                <w:rFonts w:hint="eastAsia" w:ascii="微软雅黑" w:hAnsi="微软雅黑" w:eastAsia="微软雅黑" w:cs="微软雅黑"/>
                <w:b w:val="0"/>
                <w:bCs w:val="0"/>
                <w:kern w:val="0"/>
                <w:sz w:val="21"/>
                <w:szCs w:val="21"/>
                <w:highlight w:val="none"/>
              </w:rPr>
            </w:pPr>
          </w:p>
        </w:tc>
      </w:tr>
    </w:tbl>
    <w:p>
      <w:pPr>
        <w:keepNext w:val="0"/>
        <w:keepLines w:val="0"/>
        <w:pageBreakBefore w:val="0"/>
        <w:kinsoku/>
        <w:wordWrap/>
        <w:overflowPunct/>
        <w:topLinePunct w:val="0"/>
        <w:autoSpaceDE/>
        <w:autoSpaceDN/>
        <w:bidi w:val="0"/>
        <w:adjustRightInd/>
        <w:spacing w:before="0" w:after="0" w:line="48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五、合格投标人的资格要求:</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投标人符合《中华人民共和国政府采购法》第二十二条规定的资格条件</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投标人未被“信用中国”（www.creditchina.gov.cn）、中国政府采购网（www.ccgp.gov.cn）列入失信被执行人、重大税收违法案件当事人名单、政府采购严重违法失信行为记录名单</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本项目不接受联合体投标。</w:t>
      </w:r>
    </w:p>
    <w:p>
      <w:pPr>
        <w:keepNext w:val="0"/>
        <w:keepLines w:val="0"/>
        <w:pageBreakBefore w:val="0"/>
        <w:kinsoku/>
        <w:wordWrap/>
        <w:overflowPunct/>
        <w:topLinePunct w:val="0"/>
        <w:autoSpaceDE/>
        <w:autoSpaceDN/>
        <w:bidi w:val="0"/>
        <w:adjustRightInd/>
        <w:snapToGrid w:val="0"/>
        <w:spacing w:before="0" w:after="0" w:line="48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六、</w:t>
      </w:r>
      <w:r>
        <w:rPr>
          <w:rFonts w:hint="eastAsia" w:ascii="微软雅黑" w:hAnsi="微软雅黑" w:eastAsia="微软雅黑" w:cs="微软雅黑"/>
          <w:b/>
          <w:sz w:val="21"/>
          <w:szCs w:val="21"/>
          <w:highlight w:val="none"/>
          <w:lang w:val="en-US" w:eastAsia="zh-CN"/>
        </w:rPr>
        <w:t>招标文件的获取</w:t>
      </w:r>
      <w:r>
        <w:rPr>
          <w:rFonts w:hint="eastAsia" w:ascii="微软雅黑" w:hAnsi="微软雅黑" w:eastAsia="微软雅黑" w:cs="微软雅黑"/>
          <w:b/>
          <w:sz w:val="21"/>
          <w:szCs w:val="21"/>
          <w:highlight w:val="none"/>
        </w:rPr>
        <w:t>：</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1、获取招标文件时间：</w:t>
      </w:r>
      <w:r>
        <w:rPr>
          <w:rFonts w:hint="eastAsia" w:ascii="微软雅黑" w:hAnsi="微软雅黑" w:eastAsia="微软雅黑" w:cs="微软雅黑"/>
          <w:b/>
          <w:bCs/>
          <w:sz w:val="21"/>
          <w:szCs w:val="21"/>
          <w:highlight w:val="none"/>
          <w:lang w:val="en-US" w:eastAsia="zh-CN"/>
        </w:rPr>
        <w:t>2025年</w:t>
      </w:r>
      <w:r>
        <w:rPr>
          <w:rFonts w:hint="eastAsia" w:ascii="微软雅黑" w:hAnsi="微软雅黑" w:eastAsia="微软雅黑" w:cs="微软雅黑"/>
          <w:b/>
          <w:bCs/>
          <w:sz w:val="21"/>
          <w:szCs w:val="21"/>
          <w:highlight w:val="none"/>
          <w:u w:val="none"/>
          <w:lang w:val="en-US" w:eastAsia="zh-CN"/>
        </w:rPr>
        <w:t>6</w:t>
      </w:r>
      <w:r>
        <w:rPr>
          <w:rFonts w:hint="eastAsia" w:ascii="微软雅黑" w:hAnsi="微软雅黑" w:eastAsia="微软雅黑" w:cs="微软雅黑"/>
          <w:b/>
          <w:bCs/>
          <w:sz w:val="21"/>
          <w:szCs w:val="21"/>
          <w:highlight w:val="none"/>
          <w:lang w:val="en-US" w:eastAsia="zh-CN"/>
        </w:rPr>
        <w:t>月</w:t>
      </w:r>
      <w:r>
        <w:rPr>
          <w:rFonts w:hint="eastAsia" w:ascii="微软雅黑" w:hAnsi="微软雅黑" w:eastAsia="微软雅黑" w:cs="微软雅黑"/>
          <w:b/>
          <w:bCs/>
          <w:sz w:val="21"/>
          <w:szCs w:val="21"/>
          <w:highlight w:val="none"/>
          <w:u w:val="none"/>
          <w:lang w:val="en-US" w:eastAsia="zh-CN"/>
        </w:rPr>
        <w:t>6</w:t>
      </w:r>
      <w:r>
        <w:rPr>
          <w:rFonts w:hint="eastAsia" w:ascii="微软雅黑" w:hAnsi="微软雅黑" w:eastAsia="微软雅黑" w:cs="微软雅黑"/>
          <w:b/>
          <w:bCs/>
          <w:sz w:val="21"/>
          <w:szCs w:val="21"/>
          <w:highlight w:val="none"/>
          <w:lang w:val="en-US" w:eastAsia="zh-CN"/>
        </w:rPr>
        <w:t>日起至2025年</w:t>
      </w:r>
      <w:r>
        <w:rPr>
          <w:rFonts w:hint="eastAsia" w:ascii="微软雅黑" w:hAnsi="微软雅黑" w:eastAsia="微软雅黑" w:cs="微软雅黑"/>
          <w:b/>
          <w:bCs/>
          <w:sz w:val="21"/>
          <w:szCs w:val="21"/>
          <w:highlight w:val="none"/>
          <w:u w:val="none"/>
          <w:lang w:val="en-US" w:eastAsia="zh-CN"/>
        </w:rPr>
        <w:t>6</w:t>
      </w:r>
      <w:r>
        <w:rPr>
          <w:rFonts w:hint="eastAsia" w:ascii="微软雅黑" w:hAnsi="微软雅黑" w:eastAsia="微软雅黑" w:cs="微软雅黑"/>
          <w:b/>
          <w:bCs/>
          <w:sz w:val="21"/>
          <w:szCs w:val="21"/>
          <w:highlight w:val="none"/>
          <w:lang w:val="en-US" w:eastAsia="zh-CN"/>
        </w:rPr>
        <w:t>月</w:t>
      </w:r>
      <w:r>
        <w:rPr>
          <w:rFonts w:hint="eastAsia" w:ascii="微软雅黑" w:hAnsi="微软雅黑" w:eastAsia="微软雅黑" w:cs="微软雅黑"/>
          <w:b/>
          <w:bCs/>
          <w:sz w:val="21"/>
          <w:szCs w:val="21"/>
          <w:highlight w:val="none"/>
          <w:u w:val="none"/>
          <w:lang w:val="en-US" w:eastAsia="zh-CN"/>
        </w:rPr>
        <w:t>23</w:t>
      </w:r>
      <w:r>
        <w:rPr>
          <w:rFonts w:hint="eastAsia" w:ascii="微软雅黑" w:hAnsi="微软雅黑" w:eastAsia="微软雅黑" w:cs="微软雅黑"/>
          <w:b/>
          <w:bCs/>
          <w:sz w:val="21"/>
          <w:szCs w:val="21"/>
          <w:highlight w:val="none"/>
          <w:lang w:val="en-US" w:eastAsia="zh-CN"/>
        </w:rPr>
        <w:t>日</w:t>
      </w:r>
      <w:r>
        <w:rPr>
          <w:rFonts w:hint="eastAsia" w:ascii="微软雅黑" w:hAnsi="微软雅黑" w:eastAsia="微软雅黑" w:cs="微软雅黑"/>
          <w:b/>
          <w:bCs/>
          <w:sz w:val="21"/>
          <w:szCs w:val="21"/>
          <w:highlight w:val="none"/>
          <w:u w:val="none"/>
          <w:lang w:val="en-US" w:eastAsia="zh-CN"/>
        </w:rPr>
        <w:t>17</w:t>
      </w:r>
      <w:r>
        <w:rPr>
          <w:rFonts w:hint="eastAsia" w:ascii="微软雅黑" w:hAnsi="微软雅黑" w:eastAsia="微软雅黑" w:cs="微软雅黑"/>
          <w:b/>
          <w:bCs/>
          <w:sz w:val="21"/>
          <w:szCs w:val="21"/>
          <w:highlight w:val="none"/>
          <w:lang w:val="en-US" w:eastAsia="zh-CN"/>
        </w:rPr>
        <w:t>时30分止（工作时间）。</w:t>
      </w:r>
    </w:p>
    <w:p>
      <w:pPr>
        <w:keepNext w:val="0"/>
        <w:keepLines w:val="0"/>
        <w:pageBreakBefore w:val="0"/>
        <w:widowControl w:val="0"/>
        <w:kinsoku/>
        <w:wordWrap w:val="0"/>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获取招标文件方式：本项目招标文件实行“嘉兴禾采联综合采购服务平台”在线获取，不提供招标文件纸质版，请登陆嘉兴禾采联综合采购服务平台（http://www.jxcqgs.cn/jxcqcg/）—“供应商登录”，免费注册完成后，下载获取后缀名为“.JXCQZF”的招标文件等。注册咨询、技术服务电话：0573-82813680。</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注：请供应商按上述要求获取招标文件，如未在嘉兴禾采联综合采购服务平台系统内完成相关流程，引起的投标无效责任自担。</w:t>
      </w:r>
    </w:p>
    <w:p>
      <w:pPr>
        <w:keepNext w:val="0"/>
        <w:keepLines w:val="0"/>
        <w:pageBreakBefore w:val="0"/>
        <w:kinsoku/>
        <w:wordWrap/>
        <w:overflowPunct/>
        <w:topLinePunct w:val="0"/>
        <w:autoSpaceDE/>
        <w:autoSpaceDN/>
        <w:bidi w:val="0"/>
        <w:adjustRightInd/>
        <w:spacing w:before="0" w:after="0" w:line="480" w:lineRule="exact"/>
        <w:ind w:left="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3、报名时间及方式：报名时间同招标文件获取时间。本项目实行网上报名，成功下载招标文件即视为报名成功。</w:t>
      </w:r>
    </w:p>
    <w:p>
      <w:pPr>
        <w:keepNext w:val="0"/>
        <w:keepLines w:val="0"/>
        <w:pageBreakBefore w:val="0"/>
        <w:kinsoku/>
        <w:wordWrap/>
        <w:overflowPunct/>
        <w:topLinePunct w:val="0"/>
        <w:autoSpaceDE/>
        <w:autoSpaceDN/>
        <w:bidi w:val="0"/>
        <w:adjustRightInd/>
        <w:spacing w:before="0" w:after="0" w:line="480" w:lineRule="exact"/>
        <w:ind w:left="0"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b/>
          <w:bCs/>
          <w:sz w:val="21"/>
          <w:szCs w:val="21"/>
          <w:highlight w:val="none"/>
          <w:lang w:val="en-US" w:eastAsia="zh-CN"/>
        </w:rPr>
        <w:t>七</w:t>
      </w:r>
      <w:r>
        <w:rPr>
          <w:rFonts w:hint="eastAsia" w:ascii="微软雅黑" w:hAnsi="微软雅黑" w:eastAsia="微软雅黑" w:cs="微软雅黑"/>
          <w:b/>
          <w:bCs/>
          <w:sz w:val="21"/>
          <w:szCs w:val="21"/>
          <w:highlight w:val="none"/>
        </w:rPr>
        <w:t>、投标保证金：</w:t>
      </w:r>
      <w:r>
        <w:rPr>
          <w:rFonts w:hint="eastAsia" w:ascii="微软雅黑" w:hAnsi="微软雅黑" w:eastAsia="微软雅黑" w:cs="微软雅黑"/>
          <w:bCs/>
          <w:sz w:val="21"/>
          <w:szCs w:val="21"/>
          <w:highlight w:val="none"/>
        </w:rPr>
        <w:t>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20" w:firstLineChars="200"/>
        <w:textAlignment w:val="auto"/>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八、投标截止时间：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1、投标截止时间：</w:t>
      </w:r>
      <w:r>
        <w:rPr>
          <w:rFonts w:hint="eastAsia" w:ascii="微软雅黑" w:hAnsi="微软雅黑" w:eastAsia="微软雅黑" w:cs="微软雅黑"/>
          <w:b/>
          <w:bCs/>
          <w:kern w:val="2"/>
          <w:sz w:val="21"/>
          <w:szCs w:val="21"/>
          <w:highlight w:val="none"/>
          <w:lang w:val="en-US" w:eastAsia="zh-CN" w:bidi="ar-SA"/>
        </w:rPr>
        <w:t>2025年</w:t>
      </w:r>
      <w:r>
        <w:rPr>
          <w:rFonts w:hint="eastAsia" w:ascii="微软雅黑" w:hAnsi="微软雅黑" w:eastAsia="微软雅黑" w:cs="微软雅黑"/>
          <w:b/>
          <w:bCs/>
          <w:sz w:val="21"/>
          <w:szCs w:val="21"/>
          <w:highlight w:val="none"/>
          <w:u w:val="none"/>
          <w:lang w:val="en-US" w:eastAsia="zh-CN"/>
        </w:rPr>
        <w:t>6</w:t>
      </w:r>
      <w:r>
        <w:rPr>
          <w:rFonts w:hint="eastAsia" w:ascii="微软雅黑" w:hAnsi="微软雅黑" w:eastAsia="微软雅黑" w:cs="微软雅黑"/>
          <w:b/>
          <w:bCs/>
          <w:kern w:val="2"/>
          <w:sz w:val="21"/>
          <w:szCs w:val="21"/>
          <w:highlight w:val="none"/>
          <w:lang w:val="en-US" w:eastAsia="zh-CN" w:bidi="ar-SA"/>
        </w:rPr>
        <w:t>月</w:t>
      </w:r>
      <w:r>
        <w:rPr>
          <w:rFonts w:hint="eastAsia" w:ascii="微软雅黑" w:hAnsi="微软雅黑" w:eastAsia="微软雅黑" w:cs="微软雅黑"/>
          <w:b/>
          <w:bCs/>
          <w:sz w:val="21"/>
          <w:szCs w:val="21"/>
          <w:highlight w:val="none"/>
          <w:u w:val="none"/>
          <w:lang w:val="en-US" w:eastAsia="zh-CN"/>
        </w:rPr>
        <w:t>24</w:t>
      </w:r>
      <w:r>
        <w:rPr>
          <w:rFonts w:hint="eastAsia" w:ascii="微软雅黑" w:hAnsi="微软雅黑" w:eastAsia="微软雅黑" w:cs="微软雅黑"/>
          <w:b/>
          <w:bCs/>
          <w:kern w:val="2"/>
          <w:sz w:val="21"/>
          <w:szCs w:val="21"/>
          <w:highlight w:val="none"/>
          <w:lang w:val="en-US" w:eastAsia="zh-CN" w:bidi="ar-SA"/>
        </w:rPr>
        <w:t>日</w:t>
      </w:r>
      <w:r>
        <w:rPr>
          <w:rFonts w:hint="eastAsia" w:ascii="微软雅黑" w:hAnsi="微软雅黑" w:eastAsia="微软雅黑" w:cs="微软雅黑"/>
          <w:b/>
          <w:bCs/>
          <w:sz w:val="21"/>
          <w:szCs w:val="21"/>
          <w:highlight w:val="none"/>
          <w:u w:val="none"/>
          <w:lang w:val="en-US" w:eastAsia="zh-CN"/>
        </w:rPr>
        <w:t>17</w:t>
      </w:r>
      <w:r>
        <w:rPr>
          <w:rFonts w:hint="eastAsia" w:ascii="微软雅黑" w:hAnsi="微软雅黑" w:eastAsia="微软雅黑" w:cs="微软雅黑"/>
          <w:b/>
          <w:bCs/>
          <w:sz w:val="21"/>
          <w:szCs w:val="21"/>
          <w:highlight w:val="none"/>
          <w:lang w:val="en-US" w:eastAsia="zh-CN"/>
        </w:rPr>
        <w:t>时30分止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2、投标文件递交地点：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keepNext w:val="0"/>
        <w:keepLines w:val="0"/>
        <w:pageBreakBefore w:val="0"/>
        <w:widowControl w:val="0"/>
        <w:kinsoku/>
        <w:wordWrap/>
        <w:overflowPunct/>
        <w:topLinePunct w:val="0"/>
        <w:autoSpaceDE/>
        <w:autoSpaceDN/>
        <w:bidi w:val="0"/>
        <w:adjustRightInd/>
        <w:snapToGrid/>
        <w:spacing w:before="0" w:after="0" w:line="480" w:lineRule="exact"/>
        <w:ind w:left="0" w:firstLine="420"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注：相关制作软件及操作手册请在嘉兴禾采联综合采购服务平台首页办事指南及下载中心自行下载。</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b/>
          <w:bCs/>
          <w:kern w:val="2"/>
          <w:sz w:val="21"/>
          <w:szCs w:val="21"/>
          <w:highlight w:val="none"/>
          <w:lang w:val="en-US" w:eastAsia="zh-CN" w:bidi="ar-SA"/>
        </w:rPr>
      </w:pPr>
      <w:r>
        <w:rPr>
          <w:rFonts w:hint="default" w:ascii="微软雅黑" w:hAnsi="微软雅黑" w:eastAsia="微软雅黑" w:cs="微软雅黑"/>
          <w:b/>
          <w:bCs/>
          <w:kern w:val="2"/>
          <w:sz w:val="21"/>
          <w:szCs w:val="21"/>
          <w:highlight w:val="none"/>
          <w:lang w:val="en-US" w:eastAsia="zh-CN" w:bidi="ar-SA"/>
        </w:rPr>
        <w:t>九、开标时间及地点</w:t>
      </w:r>
      <w:r>
        <w:rPr>
          <w:rFonts w:hint="eastAsia" w:ascii="微软雅黑" w:hAnsi="微软雅黑" w:eastAsia="微软雅黑" w:cs="微软雅黑"/>
          <w:b/>
          <w:bCs/>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1、开标时间：</w:t>
      </w:r>
      <w:r>
        <w:rPr>
          <w:rFonts w:hint="eastAsia" w:ascii="微软雅黑" w:hAnsi="微软雅黑" w:eastAsia="微软雅黑" w:cs="微软雅黑"/>
          <w:b/>
          <w:bCs/>
          <w:kern w:val="2"/>
          <w:sz w:val="21"/>
          <w:szCs w:val="21"/>
          <w:highlight w:val="none"/>
          <w:lang w:val="en-US" w:eastAsia="zh-CN" w:bidi="ar-SA"/>
        </w:rPr>
        <w:t>2025年</w:t>
      </w:r>
      <w:r>
        <w:rPr>
          <w:rFonts w:hint="eastAsia" w:ascii="微软雅黑" w:hAnsi="微软雅黑" w:eastAsia="微软雅黑" w:cs="微软雅黑"/>
          <w:b/>
          <w:bCs/>
          <w:sz w:val="21"/>
          <w:szCs w:val="21"/>
          <w:highlight w:val="none"/>
          <w:u w:val="none"/>
          <w:lang w:val="en-US" w:eastAsia="zh-CN"/>
        </w:rPr>
        <w:t>6</w:t>
      </w:r>
      <w:r>
        <w:rPr>
          <w:rFonts w:hint="eastAsia" w:ascii="微软雅黑" w:hAnsi="微软雅黑" w:eastAsia="微软雅黑" w:cs="微软雅黑"/>
          <w:b/>
          <w:bCs/>
          <w:kern w:val="2"/>
          <w:sz w:val="21"/>
          <w:szCs w:val="21"/>
          <w:highlight w:val="none"/>
          <w:lang w:val="en-US" w:eastAsia="zh-CN" w:bidi="ar-SA"/>
        </w:rPr>
        <w:t>月</w:t>
      </w:r>
      <w:r>
        <w:rPr>
          <w:rFonts w:hint="eastAsia" w:ascii="微软雅黑" w:hAnsi="微软雅黑" w:eastAsia="微软雅黑" w:cs="微软雅黑"/>
          <w:b/>
          <w:bCs/>
          <w:sz w:val="21"/>
          <w:szCs w:val="21"/>
          <w:highlight w:val="none"/>
          <w:u w:val="none"/>
          <w:lang w:val="en-US" w:eastAsia="zh-CN"/>
        </w:rPr>
        <w:t>26</w:t>
      </w:r>
      <w:r>
        <w:rPr>
          <w:rFonts w:hint="eastAsia" w:ascii="微软雅黑" w:hAnsi="微软雅黑" w:eastAsia="微软雅黑" w:cs="微软雅黑"/>
          <w:b/>
          <w:bCs/>
          <w:kern w:val="2"/>
          <w:sz w:val="21"/>
          <w:szCs w:val="21"/>
          <w:highlight w:val="none"/>
          <w:lang w:val="en-US" w:eastAsia="zh-CN" w:bidi="ar-SA"/>
        </w:rPr>
        <w:t>日</w:t>
      </w:r>
      <w:r>
        <w:rPr>
          <w:rFonts w:hint="eastAsia" w:ascii="微软雅黑" w:hAnsi="微软雅黑" w:eastAsia="微软雅黑" w:cs="微软雅黑"/>
          <w:b/>
          <w:bCs/>
          <w:sz w:val="21"/>
          <w:szCs w:val="21"/>
          <w:highlight w:val="none"/>
          <w:u w:val="none"/>
          <w:lang w:val="en-US" w:eastAsia="zh-CN"/>
        </w:rPr>
        <w:t>14</w:t>
      </w:r>
      <w:r>
        <w:rPr>
          <w:rFonts w:hint="eastAsia" w:ascii="微软雅黑" w:hAnsi="微软雅黑" w:eastAsia="微软雅黑" w:cs="微软雅黑"/>
          <w:b/>
          <w:bCs/>
          <w:sz w:val="21"/>
          <w:szCs w:val="21"/>
          <w:highlight w:val="none"/>
          <w:lang w:val="en-US" w:eastAsia="zh-CN"/>
        </w:rPr>
        <w:t>时</w:t>
      </w:r>
      <w:r>
        <w:rPr>
          <w:rFonts w:hint="eastAsia" w:ascii="微软雅黑" w:hAnsi="微软雅黑" w:eastAsia="微软雅黑" w:cs="微软雅黑"/>
          <w:b/>
          <w:bCs/>
          <w:sz w:val="21"/>
          <w:szCs w:val="21"/>
          <w:highlight w:val="none"/>
          <w:u w:val="none"/>
          <w:lang w:val="en-US" w:eastAsia="zh-CN"/>
        </w:rPr>
        <w:t>30</w:t>
      </w:r>
      <w:r>
        <w:rPr>
          <w:rFonts w:hint="eastAsia" w:ascii="微软雅黑" w:hAnsi="微软雅黑" w:eastAsia="微软雅黑" w:cs="微软雅黑"/>
          <w:b/>
          <w:bCs/>
          <w:sz w:val="21"/>
          <w:szCs w:val="21"/>
          <w:highlight w:val="none"/>
          <w:lang w:val="en-US" w:eastAsia="zh-CN"/>
        </w:rPr>
        <w:t>分</w:t>
      </w:r>
      <w:r>
        <w:rPr>
          <w:rFonts w:hint="default" w:ascii="微软雅黑" w:hAnsi="微软雅黑" w:eastAsia="微软雅黑" w:cs="微软雅黑"/>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 xml:space="preserve">十、平台费用说明：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20" w:firstLineChars="200"/>
        <w:jc w:val="left"/>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1、投标人在报名时，需在线缴纳150元平台系统使用费。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20" w:firstLineChars="200"/>
        <w:jc w:val="left"/>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2、本项目中标人须向平台缴纳交易服务费，收费标准按《嘉兴禾采联综合采购服务平台收费标准》执行，详见嘉兴禾采联综合采购服务平台“办事指南”板块公告。</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十</w:t>
      </w:r>
      <w:r>
        <w:rPr>
          <w:rFonts w:hint="eastAsia" w:ascii="微软雅黑" w:hAnsi="微软雅黑" w:eastAsia="微软雅黑" w:cs="微软雅黑"/>
          <w:b/>
          <w:sz w:val="21"/>
          <w:szCs w:val="21"/>
          <w:highlight w:val="none"/>
          <w:lang w:val="en-US" w:eastAsia="zh-CN"/>
        </w:rPr>
        <w:t>一</w:t>
      </w:r>
      <w:r>
        <w:rPr>
          <w:rFonts w:hint="eastAsia" w:ascii="微软雅黑" w:hAnsi="微软雅黑" w:eastAsia="微软雅黑" w:cs="微软雅黑"/>
          <w:b/>
          <w:sz w:val="21"/>
          <w:szCs w:val="21"/>
          <w:highlight w:val="none"/>
        </w:rPr>
        <w:t>、招标公告</w:t>
      </w:r>
      <w:r>
        <w:rPr>
          <w:rFonts w:hint="eastAsia" w:ascii="微软雅黑" w:hAnsi="微软雅黑" w:eastAsia="微软雅黑" w:cs="微软雅黑"/>
          <w:b/>
          <w:sz w:val="21"/>
          <w:szCs w:val="21"/>
          <w:highlight w:val="none"/>
          <w:lang w:val="en-US" w:eastAsia="zh-CN"/>
        </w:rPr>
        <w:t>/更正公告</w:t>
      </w:r>
      <w:r>
        <w:rPr>
          <w:rFonts w:hint="eastAsia" w:ascii="微软雅黑" w:hAnsi="微软雅黑" w:eastAsia="微软雅黑" w:cs="微软雅黑"/>
          <w:b/>
          <w:sz w:val="21"/>
          <w:szCs w:val="21"/>
          <w:highlight w:val="none"/>
        </w:rPr>
        <w:t>发布于：</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default" w:ascii="微软雅黑" w:hAnsi="微软雅黑" w:eastAsia="微软雅黑" w:cs="微软雅黑"/>
          <w:kern w:val="2"/>
          <w:sz w:val="21"/>
          <w:szCs w:val="21"/>
          <w:highlight w:val="none"/>
          <w:lang w:val="en-US" w:eastAsia="zh-CN" w:bidi="ar-SA"/>
        </w:rPr>
        <w:t>嘉兴禾采联综合采购服务平台</w:t>
      </w:r>
      <w:r>
        <w:rPr>
          <w:rFonts w:hint="eastAsia" w:ascii="微软雅黑" w:hAnsi="微软雅黑" w:eastAsia="微软雅黑" w:cs="微软雅黑"/>
          <w:kern w:val="2"/>
          <w:sz w:val="21"/>
          <w:szCs w:val="21"/>
          <w:highlight w:val="none"/>
          <w:lang w:val="en-US" w:eastAsia="zh-CN" w:bidi="ar-SA"/>
        </w:rPr>
        <w:t>：</w:t>
      </w:r>
      <w:r>
        <w:rPr>
          <w:rFonts w:hint="default" w:ascii="微软雅黑" w:hAnsi="微软雅黑" w:eastAsia="微软雅黑" w:cs="微软雅黑"/>
          <w:kern w:val="2"/>
          <w:sz w:val="21"/>
          <w:szCs w:val="21"/>
          <w:highlight w:val="none"/>
          <w:lang w:val="en-US" w:eastAsia="zh-CN" w:bidi="ar-SA"/>
        </w:rPr>
        <w:t>http://www.jxcqgs.cn/jxcqcg/</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嘉兴银行官网：http://www.</w:t>
      </w:r>
      <w:r>
        <w:rPr>
          <w:rFonts w:hint="eastAsia" w:ascii="微软雅黑" w:hAnsi="微软雅黑" w:eastAsia="微软雅黑" w:cs="微软雅黑"/>
          <w:sz w:val="21"/>
          <w:szCs w:val="21"/>
          <w:highlight w:val="none"/>
          <w:lang w:val="en-US" w:eastAsia="zh-CN"/>
        </w:rPr>
        <w:t>bojx</w:t>
      </w:r>
      <w:r>
        <w:rPr>
          <w:rFonts w:hint="eastAsia" w:ascii="微软雅黑" w:hAnsi="微软雅黑" w:eastAsia="微软雅黑" w:cs="微软雅黑"/>
          <w:sz w:val="21"/>
          <w:szCs w:val="21"/>
          <w:highlight w:val="none"/>
        </w:rPr>
        <w:t xml:space="preserve">.com/ </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浙江政府采购网：https://zfcg.czt.zj.gov.cn/</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4、金采网：</w:t>
      </w:r>
      <w:r>
        <w:rPr>
          <w:rFonts w:hint="eastAsia" w:ascii="微软雅黑" w:hAnsi="微软雅黑" w:eastAsia="微软雅黑" w:cs="微软雅黑"/>
          <w:sz w:val="21"/>
          <w:szCs w:val="21"/>
          <w:highlight w:val="none"/>
        </w:rPr>
        <w:t xml:space="preserve">http://www.cfcpn.com/ </w:t>
      </w:r>
    </w:p>
    <w:p>
      <w:pPr>
        <w:keepNext w:val="0"/>
        <w:keepLines w:val="0"/>
        <w:pageBreakBefore w:val="0"/>
        <w:kinsoku/>
        <w:wordWrap/>
        <w:overflowPunct/>
        <w:topLinePunct w:val="0"/>
        <w:autoSpaceDE/>
        <w:autoSpaceDN/>
        <w:bidi w:val="0"/>
        <w:adjustRightInd/>
        <w:spacing w:before="0" w:after="0" w:line="480" w:lineRule="exact"/>
        <w:ind w:firstLine="420" w:firstLineChars="200"/>
        <w:textAlignment w:val="auto"/>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val="en-US" w:eastAsia="zh-CN"/>
        </w:rPr>
        <w:t>十二</w:t>
      </w:r>
      <w:r>
        <w:rPr>
          <w:rFonts w:hint="eastAsia" w:ascii="微软雅黑" w:hAnsi="微软雅黑" w:eastAsia="微软雅黑" w:cs="微软雅黑"/>
          <w:b/>
          <w:sz w:val="21"/>
          <w:szCs w:val="21"/>
          <w:highlight w:val="none"/>
        </w:rPr>
        <w:t>、投标注意事项</w:t>
      </w:r>
      <w:r>
        <w:rPr>
          <w:rFonts w:hint="eastAsia" w:ascii="微软雅黑" w:hAnsi="微软雅黑" w:eastAsia="微软雅黑" w:cs="微软雅黑"/>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远程不见面开标：是指将传统的开标场所搬到网上，采购人、供应商只需登录网上不见面开标大厅（http://www.jxcqgs.cn/BidOpening/bidhall/default/login），无需到开标现场参与即可进行投标文件在线解密、供应商在线提问、采购人在线回复等操作。</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sz w:val="21"/>
          <w:szCs w:val="21"/>
          <w:highlight w:val="none"/>
        </w:rPr>
        <w:t>CA锁和嘉兴市公共资源交易系统通用。</w:t>
      </w:r>
    </w:p>
    <w:p>
      <w:pPr>
        <w:keepNext w:val="0"/>
        <w:keepLines w:val="0"/>
        <w:pageBreakBefore w:val="0"/>
        <w:kinsoku/>
        <w:wordWrap/>
        <w:overflowPunct/>
        <w:topLinePunct w:val="0"/>
        <w:autoSpaceDE/>
        <w:autoSpaceDN/>
        <w:bidi w:val="0"/>
        <w:adjustRightInd/>
        <w:spacing w:before="0" w:after="0" w:line="48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bCs/>
          <w:sz w:val="21"/>
          <w:szCs w:val="21"/>
          <w:highlight w:val="none"/>
        </w:rPr>
        <w:t>十</w:t>
      </w:r>
      <w:r>
        <w:rPr>
          <w:rFonts w:hint="eastAsia" w:ascii="微软雅黑" w:hAnsi="微软雅黑" w:eastAsia="微软雅黑" w:cs="微软雅黑"/>
          <w:b/>
          <w:bCs/>
          <w:sz w:val="21"/>
          <w:szCs w:val="21"/>
          <w:highlight w:val="none"/>
          <w:lang w:val="en-US" w:eastAsia="zh-CN"/>
        </w:rPr>
        <w:t>三</w:t>
      </w:r>
      <w:r>
        <w:rPr>
          <w:rFonts w:hint="eastAsia" w:ascii="微软雅黑" w:hAnsi="微软雅黑" w:eastAsia="微软雅黑" w:cs="微软雅黑"/>
          <w:b/>
          <w:bCs/>
          <w:sz w:val="21"/>
          <w:szCs w:val="21"/>
          <w:highlight w:val="none"/>
        </w:rPr>
        <w:t>、业务咨询：</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采购单位：</w:t>
      </w:r>
      <w:r>
        <w:rPr>
          <w:rFonts w:hint="eastAsia" w:ascii="微软雅黑" w:hAnsi="微软雅黑" w:eastAsia="微软雅黑" w:cs="微软雅黑"/>
          <w:sz w:val="21"/>
          <w:szCs w:val="21"/>
          <w:highlight w:val="none"/>
          <w:lang w:eastAsia="zh-CN"/>
        </w:rPr>
        <w:t>嘉兴银行股份有限公司</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朱</w:t>
      </w:r>
      <w:r>
        <w:rPr>
          <w:rFonts w:hint="eastAsia" w:ascii="微软雅黑" w:hAnsi="微软雅黑" w:eastAsia="微软雅黑" w:cs="微软雅黑"/>
          <w:sz w:val="21"/>
          <w:szCs w:val="21"/>
          <w:highlight w:val="none"/>
        </w:rPr>
        <w:t>先生</w:t>
      </w:r>
      <w:r>
        <w:rPr>
          <w:rFonts w:hint="eastAsia" w:ascii="微软雅黑" w:hAnsi="微软雅黑" w:eastAsia="微软雅黑" w:cs="微软雅黑"/>
          <w:sz w:val="21"/>
          <w:szCs w:val="21"/>
          <w:highlight w:val="none"/>
          <w:lang w:val="en-US" w:eastAsia="zh-CN"/>
        </w:rPr>
        <w:t xml:space="preserve">  联系</w:t>
      </w:r>
      <w:r>
        <w:rPr>
          <w:rFonts w:hint="eastAsia" w:ascii="微软雅黑" w:hAnsi="微软雅黑" w:eastAsia="微软雅黑" w:cs="微软雅黑"/>
          <w:sz w:val="21"/>
          <w:szCs w:val="21"/>
          <w:highlight w:val="none"/>
        </w:rPr>
        <w:t>电话：</w:t>
      </w:r>
      <w:r>
        <w:rPr>
          <w:rFonts w:hint="eastAsia" w:ascii="微软雅黑" w:hAnsi="微软雅黑" w:eastAsia="微软雅黑" w:cs="微软雅黑"/>
          <w:sz w:val="21"/>
          <w:szCs w:val="21"/>
          <w:highlight w:val="none"/>
          <w:lang w:val="en-US" w:eastAsia="zh-CN"/>
        </w:rPr>
        <w:t>0573-</w:t>
      </w:r>
      <w:r>
        <w:rPr>
          <w:rFonts w:ascii="微软雅黑" w:hAnsi="微软雅黑" w:eastAsia="微软雅黑" w:cs="微软雅黑"/>
          <w:i w:val="0"/>
          <w:caps w:val="0"/>
          <w:color w:val="333333"/>
          <w:spacing w:val="0"/>
          <w:sz w:val="22"/>
          <w:szCs w:val="22"/>
          <w:highlight w:val="none"/>
          <w:u w:val="none"/>
          <w:shd w:val="clear" w:color="auto" w:fill="FFFFFF"/>
        </w:rPr>
        <w:t>82080177</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3967375675</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2、招标代理</w:t>
      </w:r>
      <w:r>
        <w:rPr>
          <w:rFonts w:hint="eastAsia" w:ascii="微软雅黑" w:hAnsi="微软雅黑" w:eastAsia="微软雅黑" w:cs="微软雅黑"/>
          <w:sz w:val="21"/>
          <w:szCs w:val="21"/>
          <w:highlight w:val="none"/>
        </w:rPr>
        <w:t>：浙江科佳工程咨询有限公司</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420" w:firstLineChars="200"/>
        <w:textAlignment w:val="auto"/>
        <w:rPr>
          <w:rFonts w:hint="default" w:ascii="微软雅黑" w:hAnsi="微软雅黑" w:eastAsia="微软雅黑" w:cs="微软雅黑"/>
          <w:sz w:val="21"/>
          <w:szCs w:val="21"/>
          <w:highlight w:val="yellow"/>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戴女士  联系</w:t>
      </w:r>
      <w:r>
        <w:rPr>
          <w:rFonts w:hint="eastAsia" w:ascii="微软雅黑" w:hAnsi="微软雅黑" w:eastAsia="微软雅黑" w:cs="微软雅黑"/>
          <w:sz w:val="21"/>
          <w:szCs w:val="21"/>
          <w:highlight w:val="none"/>
        </w:rPr>
        <w:t>电话：1</w:t>
      </w:r>
      <w:r>
        <w:rPr>
          <w:rFonts w:hint="eastAsia" w:ascii="微软雅黑" w:hAnsi="微软雅黑" w:eastAsia="微软雅黑" w:cs="微软雅黑"/>
          <w:sz w:val="21"/>
          <w:szCs w:val="21"/>
          <w:highlight w:val="none"/>
          <w:lang w:val="en-US" w:eastAsia="zh-CN"/>
        </w:rPr>
        <w:t>3656607451</w:t>
      </w:r>
    </w:p>
    <w:p>
      <w:pPr>
        <w:keepNext w:val="0"/>
        <w:keepLines w:val="0"/>
        <w:pageBreakBefore w:val="0"/>
        <w:kinsoku/>
        <w:wordWrap/>
        <w:overflowPunct/>
        <w:topLinePunct w:val="0"/>
        <w:autoSpaceDE/>
        <w:autoSpaceDN/>
        <w:bidi w:val="0"/>
        <w:adjustRightInd/>
        <w:spacing w:before="0" w:after="0" w:line="480" w:lineRule="exact"/>
        <w:ind w:left="0" w:firstLine="420" w:firstLineChars="200"/>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十四、采购监督：</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嘉兴银行法律合规部王先生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联系</w:t>
      </w:r>
      <w:r>
        <w:rPr>
          <w:rFonts w:hint="eastAsia" w:ascii="微软雅黑" w:hAnsi="微软雅黑" w:eastAsia="微软雅黑" w:cs="微软雅黑"/>
          <w:sz w:val="21"/>
          <w:szCs w:val="21"/>
          <w:highlight w:val="none"/>
        </w:rPr>
        <w:t>电话：0573-8208</w:t>
      </w:r>
      <w:r>
        <w:rPr>
          <w:rFonts w:hint="eastAsia" w:ascii="微软雅黑" w:hAnsi="微软雅黑" w:eastAsia="微软雅黑" w:cs="微软雅黑"/>
          <w:sz w:val="21"/>
          <w:szCs w:val="21"/>
          <w:highlight w:val="none"/>
          <w:lang w:val="en-US" w:eastAsia="zh-CN"/>
        </w:rPr>
        <w:t>0071</w:t>
      </w:r>
    </w:p>
    <w:p>
      <w:pPr>
        <w:keepNext w:val="0"/>
        <w:keepLines w:val="0"/>
        <w:pageBreakBefore w:val="0"/>
        <w:kinsoku/>
        <w:wordWrap/>
        <w:overflowPunct/>
        <w:topLinePunct w:val="0"/>
        <w:autoSpaceDE/>
        <w:autoSpaceDN/>
        <w:bidi w:val="0"/>
        <w:adjustRightInd/>
        <w:spacing w:before="0" w:after="0" w:line="480" w:lineRule="exact"/>
        <w:ind w:left="0" w:firstLine="420" w:firstLineChars="200"/>
        <w:textAlignment w:val="auto"/>
        <w:rPr>
          <w:rFonts w:hint="default" w:ascii="微软雅黑" w:hAnsi="微软雅黑" w:eastAsia="微软雅黑" w:cs="微软雅黑"/>
          <w:b/>
          <w:bCs/>
          <w:sz w:val="21"/>
          <w:szCs w:val="21"/>
          <w:highlight w:val="none"/>
          <w:lang w:val="en-US" w:eastAsia="zh-CN"/>
        </w:rPr>
      </w:pPr>
      <w:r>
        <w:rPr>
          <w:rFonts w:hint="default" w:ascii="微软雅黑" w:hAnsi="微软雅黑" w:eastAsia="微软雅黑" w:cs="微软雅黑"/>
          <w:b/>
          <w:bCs/>
          <w:sz w:val="21"/>
          <w:szCs w:val="21"/>
          <w:highlight w:val="none"/>
          <w:lang w:val="en-US" w:eastAsia="zh-CN"/>
        </w:rPr>
        <w:t>十</w:t>
      </w:r>
      <w:r>
        <w:rPr>
          <w:rFonts w:hint="eastAsia" w:ascii="微软雅黑" w:hAnsi="微软雅黑" w:eastAsia="微软雅黑" w:cs="微软雅黑"/>
          <w:b/>
          <w:bCs/>
          <w:sz w:val="21"/>
          <w:szCs w:val="21"/>
          <w:highlight w:val="none"/>
          <w:lang w:val="en-US" w:eastAsia="zh-CN"/>
        </w:rPr>
        <w:t>五</w:t>
      </w:r>
      <w:r>
        <w:rPr>
          <w:rFonts w:hint="default" w:ascii="微软雅黑" w:hAnsi="微软雅黑" w:eastAsia="微软雅黑" w:cs="微软雅黑"/>
          <w:b/>
          <w:bCs/>
          <w:sz w:val="21"/>
          <w:szCs w:val="21"/>
          <w:highlight w:val="none"/>
          <w:lang w:val="en-US" w:eastAsia="zh-CN"/>
        </w:rPr>
        <w:t>、嘉兴禾采联咨询：</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嘉兴禾采联综合采购服务平台联系电话：0573-82816090</w:t>
      </w:r>
    </w:p>
    <w:p>
      <w:pPr>
        <w:keepNext w:val="0"/>
        <w:keepLines w:val="0"/>
        <w:pageBreakBefore w:val="0"/>
        <w:widowControl w:val="0"/>
        <w:kinsoku/>
        <w:wordWrap/>
        <w:overflowPunct/>
        <w:topLinePunct w:val="0"/>
        <w:autoSpaceDE/>
        <w:autoSpaceDN/>
        <w:bidi w:val="0"/>
        <w:adjustRightInd/>
        <w:snapToGrid/>
        <w:spacing w:before="0" w:after="0" w:line="48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嘉兴禾采联综合采购服务平台技术支持电话：0573-82813680</w:t>
      </w:r>
    </w:p>
    <w:p>
      <w:pPr>
        <w:keepNext w:val="0"/>
        <w:keepLines w:val="0"/>
        <w:pageBreakBefore w:val="0"/>
        <w:widowControl w:val="0"/>
        <w:kinsoku/>
        <w:wordWrap/>
        <w:overflowPunct/>
        <w:topLinePunct w:val="0"/>
        <w:autoSpaceDE/>
        <w:autoSpaceDN/>
        <w:bidi w:val="0"/>
        <w:adjustRightInd/>
        <w:snapToGrid/>
        <w:spacing w:before="0" w:after="0" w:line="480" w:lineRule="exact"/>
        <w:textAlignment w:val="auto"/>
        <w:rPr>
          <w:rFonts w:hint="eastAsia" w:ascii="微软雅黑" w:hAnsi="微软雅黑" w:eastAsia="微软雅黑" w:cs="微软雅黑"/>
          <w:sz w:val="21"/>
          <w:szCs w:val="21"/>
          <w:highlight w:val="yellow"/>
          <w:lang w:val="en-US" w:eastAsia="zh-CN"/>
        </w:rPr>
      </w:pPr>
    </w:p>
    <w:p>
      <w:pPr>
        <w:keepNext w:val="0"/>
        <w:keepLines w:val="0"/>
        <w:pageBreakBefore w:val="0"/>
        <w:widowControl w:val="0"/>
        <w:kinsoku/>
        <w:wordWrap/>
        <w:overflowPunct/>
        <w:topLinePunct w:val="0"/>
        <w:autoSpaceDE/>
        <w:autoSpaceDN/>
        <w:bidi w:val="0"/>
        <w:adjustRightInd/>
        <w:snapToGrid/>
        <w:spacing w:before="0" w:after="0" w:line="480" w:lineRule="exact"/>
        <w:textAlignment w:val="auto"/>
        <w:rPr>
          <w:rFonts w:hint="eastAsia" w:ascii="微软雅黑" w:hAnsi="微软雅黑" w:eastAsia="微软雅黑" w:cs="微软雅黑"/>
          <w:sz w:val="21"/>
          <w:szCs w:val="21"/>
          <w:highlight w:val="none"/>
          <w:lang w:val="en-US" w:eastAsia="zh-CN"/>
        </w:rPr>
      </w:pPr>
    </w:p>
    <w:p>
      <w:pPr>
        <w:keepNext w:val="0"/>
        <w:keepLines w:val="0"/>
        <w:pageBreakBefore w:val="0"/>
        <w:kinsoku/>
        <w:wordWrap/>
        <w:overflowPunct/>
        <w:topLinePunct w:val="0"/>
        <w:autoSpaceDE/>
        <w:autoSpaceDN/>
        <w:bidi w:val="0"/>
        <w:adjustRightInd/>
        <w:snapToGrid w:val="0"/>
        <w:spacing w:before="0" w:after="0" w:line="480" w:lineRule="exact"/>
        <w:ind w:firstLine="480" w:firstLineChars="200"/>
        <w:jc w:val="right"/>
        <w:textAlignment w:val="auto"/>
        <w:rPr>
          <w:rFonts w:ascii="微软雅黑" w:hAnsi="微软雅黑" w:eastAsia="微软雅黑" w:cs="微软雅黑"/>
          <w:szCs w:val="21"/>
          <w:highlight w:val="yellow"/>
        </w:rPr>
      </w:pPr>
      <w:r>
        <w:rPr>
          <w:rFonts w:hint="eastAsia" w:ascii="微软雅黑" w:hAnsi="微软雅黑" w:eastAsia="微软雅黑" w:cs="微软雅黑"/>
          <w:szCs w:val="21"/>
          <w:highlight w:val="none"/>
          <w:lang w:eastAsia="zh-CN"/>
        </w:rPr>
        <w:t>嘉兴银行股份有限公司</w:t>
      </w:r>
      <w:r>
        <w:rPr>
          <w:rFonts w:hint="eastAsia" w:ascii="微软雅黑" w:hAnsi="微软雅黑" w:eastAsia="微软雅黑" w:cs="微软雅黑"/>
          <w:szCs w:val="21"/>
          <w:highlight w:val="none"/>
        </w:rPr>
        <w:br w:type="textWrapping"/>
      </w:r>
      <w:r>
        <w:rPr>
          <w:rFonts w:hint="eastAsia" w:ascii="微软雅黑" w:hAnsi="微软雅黑" w:eastAsia="微软雅黑" w:cs="微软雅黑"/>
          <w:szCs w:val="21"/>
          <w:highlight w:val="none"/>
        </w:rPr>
        <w:t>浙江科佳工程咨询有限公司</w:t>
      </w:r>
    </w:p>
    <w:p>
      <w:pPr>
        <w:keepNext w:val="0"/>
        <w:keepLines w:val="0"/>
        <w:pageBreakBefore w:val="0"/>
        <w:kinsoku/>
        <w:wordWrap/>
        <w:overflowPunct/>
        <w:topLinePunct w:val="0"/>
        <w:autoSpaceDE/>
        <w:autoSpaceDN/>
        <w:bidi w:val="0"/>
        <w:adjustRightInd/>
        <w:spacing w:before="0" w:after="0" w:line="480" w:lineRule="exact"/>
        <w:ind w:firstLine="480" w:firstLineChars="200"/>
        <w:jc w:val="righ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Cs w:val="21"/>
          <w:highlight w:val="none"/>
        </w:rPr>
        <w:t>2</w:t>
      </w:r>
      <w:r>
        <w:rPr>
          <w:rFonts w:hint="eastAsia" w:ascii="微软雅黑" w:hAnsi="微软雅黑" w:eastAsia="微软雅黑" w:cs="微软雅黑"/>
          <w:szCs w:val="21"/>
          <w:highlight w:val="none"/>
          <w:lang w:val="en-US" w:eastAsia="zh-CN"/>
        </w:rPr>
        <w:t>025</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lang w:val="en-US" w:eastAsia="zh-CN"/>
        </w:rPr>
        <w:t>6</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lang w:val="en-US" w:eastAsia="zh-CN"/>
        </w:rPr>
        <w:t>6</w:t>
      </w:r>
      <w:r>
        <w:rPr>
          <w:rFonts w:hint="eastAsia" w:ascii="微软雅黑" w:hAnsi="微软雅黑" w:eastAsia="微软雅黑" w:cs="微软雅黑"/>
          <w:szCs w:val="21"/>
          <w:highlight w:val="none"/>
        </w:rPr>
        <w:t>日</w:t>
      </w:r>
    </w:p>
    <w:p/>
    <w:sectPr>
      <w:pgSz w:w="11906" w:h="16838"/>
      <w:pgMar w:top="567" w:right="1134" w:bottom="567" w:left="1134" w:header="680" w:footer="82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34845"/>
    <w:rsid w:val="0412470C"/>
    <w:rsid w:val="3D2348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2">
    <w:name w:val="heading 3"/>
    <w:basedOn w:val="1"/>
    <w:next w:val="1"/>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Body Text"/>
    <w:basedOn w:val="1"/>
    <w:next w:val="5"/>
    <w:qFormat/>
    <w:uiPriority w:val="0"/>
  </w:style>
  <w:style w:type="paragraph" w:styleId="5">
    <w:name w:val="Body Text First Indent"/>
    <w:basedOn w:val="4"/>
    <w:next w:val="1"/>
    <w:qFormat/>
    <w:uiPriority w:val="0"/>
    <w:pPr>
      <w:ind w:firstLine="200"/>
    </w:pPr>
    <w:rPr>
      <w:rFonts w:ascii="Calibri" w:hAnsi="Calibri" w:eastAsia="宋体" w:cs="Times New Roman"/>
      <w:bCs/>
      <w:sz w:val="24"/>
    </w:rPr>
  </w:style>
  <w:style w:type="paragraph" w:styleId="6">
    <w:name w:val="Plain Text"/>
    <w:basedOn w:val="1"/>
    <w:next w:val="4"/>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2025-06-04T09:59:00Z</dcterms:created>
  <dc:creator>朱佳斌</dc:creator>
  <cp:lastModifiedBy>朱佳斌</cp:lastModifiedBy>
  <dcterms:modified xsi:type="dcterms:W3CDTF">2025-06-04T10:00:39Z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