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嘉兴银行2025年度办公电脑框架协议采购项目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开招标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KJ2024-40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嘉兴银行2025年度办公电脑框架协议采购项目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首次公告日期：202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更正事项：■采购公告 ■采购文件 □采购结果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更正内容：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pStyle w:val="10"/>
        <w:ind w:firstLine="482" w:firstLineChars="200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[招标公告]：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95" w:afterLines="30" w:line="48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四、招标采购内容：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 xml:space="preserve"> </w:t>
      </w:r>
    </w:p>
    <w:tbl>
      <w:tblPr>
        <w:tblStyle w:val="7"/>
        <w:tblW w:w="8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4F4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271"/>
        <w:gridCol w:w="705"/>
        <w:gridCol w:w="690"/>
        <w:gridCol w:w="147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标项</w:t>
            </w:r>
          </w:p>
        </w:tc>
        <w:tc>
          <w:tcPr>
            <w:tcW w:w="3271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标项名称</w:t>
            </w:r>
          </w:p>
        </w:tc>
        <w:tc>
          <w:tcPr>
            <w:tcW w:w="70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690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2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招标控制价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71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自主品牌电脑为台式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分体机</w:t>
            </w:r>
          </w:p>
        </w:tc>
        <w:tc>
          <w:tcPr>
            <w:tcW w:w="70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90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271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自主品牌电脑为台式分体机</w:t>
            </w:r>
          </w:p>
        </w:tc>
        <w:tc>
          <w:tcPr>
            <w:tcW w:w="70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90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709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271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非自主品牌电脑台式一体机、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非自主品牌电脑台式分体机</w:t>
            </w:r>
          </w:p>
        </w:tc>
        <w:tc>
          <w:tcPr>
            <w:tcW w:w="705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90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台式一体机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71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 w:leftChars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台式分体机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709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271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非自主品牌电脑笔记本（1）、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非自主品牌电脑笔记本（2）</w:t>
            </w:r>
          </w:p>
        </w:tc>
        <w:tc>
          <w:tcPr>
            <w:tcW w:w="705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90" w:type="dxa"/>
            <w:vMerge w:val="restart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笔记本（1）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709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71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90" w:type="dxa"/>
            <w:vMerge w:val="continue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笔记本（2）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271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非自主品牌电脑笔记本（3）</w:t>
            </w:r>
          </w:p>
        </w:tc>
        <w:tc>
          <w:tcPr>
            <w:tcW w:w="70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90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1470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10000元/台</w:t>
            </w:r>
          </w:p>
        </w:tc>
        <w:tc>
          <w:tcPr>
            <w:tcW w:w="1519" w:type="dxa"/>
            <w:shd w:val="clear" w:color="auto" w:fill="F4F4F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480" w:lineRule="exact"/>
              <w:ind w:left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五、合格投标人的资格要求: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投标人符合《中华人民共和国政府采购法》第二十二条规定的资格条件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4、标项一投标单位单个标项提供3个厂商案例，案例要求：2022年1月1日至今所投品牌的同技术路线产品在金融行业的成功案例（单个合同数量在200台及以上或单个框架协议项下订单合计数量在200台及以上）案例不计入案例分。【资格前审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9" w:firstLineChars="228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六、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报名及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招标文件的获取：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firstLine="478" w:firstLineChars="228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2、投标报名：采用网上报名方式，供应商应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日至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07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登录嘉兴银行招采系统，进行网上报名，按要求提交报名资料，审核通过后自行下载采购文件。（报名流程见登录界面帮助中心）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、 投标文件的递交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投标文件的递交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采取线上和线下并行模式：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报名成功后，供应商须同时提交电子版和纸质版投标文件，电子投标文件为纸质投标文件PDF扫描版：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电子投标文件：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投标人应于20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前将加密电子投标文件上传至嘉兴银行招采系统（上传及投标教程详见登录界面帮助中心）。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480" w:lineRule="exact"/>
        <w:ind w:left="0" w:firstLine="420" w:firstLineChars="2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2、纸质投标文件：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投标人应于20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分前将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纸质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投标文件密封送交到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嘉兴银行总行大楼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230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室（嘉兴市昌盛南路1001号）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，逾期送达或未密封将予以拒收。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  <w:lang w:val="en-US" w:eastAsia="zh-CN"/>
        </w:rPr>
        <w:t>十</w:t>
      </w:r>
      <w:r>
        <w:rPr>
          <w:rFonts w:hint="eastAsia" w:ascii="微软雅黑" w:hAnsi="微软雅黑" w:eastAsia="微软雅黑" w:cs="微软雅黑"/>
          <w:b/>
          <w:color w:val="auto"/>
          <w:sz w:val="21"/>
          <w:szCs w:val="21"/>
          <w:highlight w:val="none"/>
        </w:rPr>
        <w:t>、开标时间及地点：</w:t>
      </w:r>
    </w:p>
    <w:p>
      <w:pPr>
        <w:pStyle w:val="3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本次招标将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于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日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分在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嘉兴银行总行大楼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val="en-US" w:eastAsia="zh-CN"/>
        </w:rPr>
        <w:t>231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  <w:t>室（嘉兴市昌盛南路1001号）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开标，授权代表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持有效身份证明出席开标会议。</w:t>
      </w:r>
    </w:p>
    <w:p>
      <w:pPr>
        <w:pStyle w:val="4"/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auto"/>
          <w:sz w:val="21"/>
          <w:szCs w:val="21"/>
          <w:highlight w:val="none"/>
          <w:lang w:val="en-US" w:eastAsia="zh-CN"/>
        </w:rPr>
        <w:t>[第三章 项目需求]：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1、本次办公电脑入围采购分为自主品牌电脑和非自主品牌电脑。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2、自主品牌电脑台式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分体机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（标项1）、自主品牌电脑台式分体机（标项2），非自主品牌电脑分为台式一体机、台式分体机（标项3）、笔记本一、笔记本二（标项4），笔记本三（标项5）。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七、产品主要配置清单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标项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一：嘉兴银行年度自主品牌办公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分体机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电脑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1定点采购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1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价格上限：5000元/台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7"/>
        <w:tblW w:w="8594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5131"/>
        <w:gridCol w:w="21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6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highlight w:val="none"/>
                <w:lang w:bidi="ar"/>
              </w:rPr>
              <w:t>主要配置</w:t>
            </w:r>
          </w:p>
        </w:tc>
        <w:tc>
          <w:tcPr>
            <w:tcW w:w="21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color w:val="auto"/>
                <w:kern w:val="0"/>
                <w:highlight w:val="none"/>
                <w:lang w:bidi="ar"/>
              </w:rPr>
              <w:t>推荐品牌型号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CPU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firstLine="240" w:firstLineChars="10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兆芯KX-7000 八核3.6GHz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  <w:lang w:val="en-US" w:eastAsia="zh-CN"/>
              </w:rPr>
              <w:t>清华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  <w:t>同方超翔Z860；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  <w:t>联想开天P90z G1t；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  <w:t>升腾P410 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  <w:t>或同档次其他品牌型号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内存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shd w:val="clear" w:color="auto" w:fill="FFFFFF"/>
                <w:lang w:bidi="ar"/>
              </w:rPr>
              <w:t>16G DDR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shd w:val="clear" w:color="auto" w:fill="FFFFFF"/>
                <w:lang w:val="en-US" w:eastAsia="zh-CN" w:bidi="ar"/>
              </w:rPr>
              <w:t>4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shd w:val="clear" w:color="auto" w:fill="FFFFFF"/>
                <w:lang w:bidi="ar"/>
              </w:rPr>
              <w:t xml:space="preserve"> 或以上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,主板支持4内存槽或者以上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硬盘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256G SSD +1T机械硬盘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显卡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 xml:space="preserve"> 2G 独立显卡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显示器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23.8寸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接口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USB3.0接口:不少于6个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HDMI接口:1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VGA接口:1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网络接口:1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操作系统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支持统信桌面操作系统、麒麟桌面操作系统（供货时由甲方指定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键鼠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无线键鼠（以原装优先）</w:t>
            </w:r>
          </w:p>
        </w:tc>
        <w:tc>
          <w:tcPr>
            <w:tcW w:w="2175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其他</w:t>
            </w:r>
          </w:p>
        </w:tc>
        <w:tc>
          <w:tcPr>
            <w:tcW w:w="51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  <w:t>三年整机原厂质保、出厂标准自带软件三年正版授权、硬盘不返还服务</w:t>
            </w:r>
          </w:p>
        </w:tc>
        <w:tc>
          <w:tcPr>
            <w:tcW w:w="217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color w:val="auto"/>
                <w:kern w:val="0"/>
                <w:highlight w:val="none"/>
                <w:lang w:bidi="ar"/>
              </w:rPr>
            </w:pPr>
          </w:p>
        </w:tc>
      </w:tr>
    </w:tbl>
    <w:p>
      <w:pPr>
        <w:outlineLvl w:val="2"/>
        <w:rPr>
          <w:rFonts w:hint="eastAsia" w:ascii="CESI仿宋-GB2312" w:hAnsi="CESI仿宋-GB2312" w:eastAsia="CESI仿宋-GB2312" w:cs="CESI仿宋-GB2312"/>
          <w:color w:val="auto"/>
          <w:highlight w:val="none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采购人：嘉兴银行股份有限公司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沈先生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13957398793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联系地址：浙江省嘉兴市昌盛南路1001号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招标代理：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浙江科佳工程咨询有限公司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val="en-US" w:eastAsia="zh-CN"/>
        </w:rPr>
        <w:t>17858323906，0573-82211527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浙江科佳工程咨询有限公司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（嘉兴市南湖区城南路鑫汇大厦503室（浙江科佳工程咨询有限公司））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嘉兴银行股份有限公司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浙江科佳工程咨询有限公司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19E3"/>
    <w:multiLevelType w:val="singleLevel"/>
    <w:tmpl w:val="6BC019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62EE2"/>
    <w:rsid w:val="03317E58"/>
    <w:rsid w:val="081159DA"/>
    <w:rsid w:val="0EF90F5A"/>
    <w:rsid w:val="24C01180"/>
    <w:rsid w:val="2589477C"/>
    <w:rsid w:val="294E1F3A"/>
    <w:rsid w:val="33A121B8"/>
    <w:rsid w:val="34EB5A9A"/>
    <w:rsid w:val="462F6FEA"/>
    <w:rsid w:val="48D80F4C"/>
    <w:rsid w:val="49956A5C"/>
    <w:rsid w:val="4FD452FE"/>
    <w:rsid w:val="52A80D70"/>
    <w:rsid w:val="578C1125"/>
    <w:rsid w:val="58FD3828"/>
    <w:rsid w:val="5A8F7459"/>
    <w:rsid w:val="5D906018"/>
    <w:rsid w:val="5F320A3B"/>
    <w:rsid w:val="5F6A4140"/>
    <w:rsid w:val="5FCE6630"/>
    <w:rsid w:val="65134655"/>
    <w:rsid w:val="6549438B"/>
    <w:rsid w:val="657C3AAE"/>
    <w:rsid w:val="68B90499"/>
    <w:rsid w:val="6AE7318E"/>
    <w:rsid w:val="6BA62EE2"/>
    <w:rsid w:val="78894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Calibri" w:hAnsi="Calibri" w:eastAsia="宋体" w:cs="Arial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qFormat/>
    <w:uiPriority w:val="0"/>
    <w:pPr>
      <w:ind w:firstLine="200"/>
    </w:pPr>
    <w:rPr>
      <w:rFonts w:ascii="Calibri" w:hAnsi="Calibri" w:eastAsia="宋体" w:cs="Times New Roman"/>
      <w:bCs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表格文字"/>
    <w:basedOn w:val="1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cs="Times New Roman"/>
      <w:kern w:val="0"/>
      <w:szCs w:val="24"/>
    </w:rPr>
  </w:style>
  <w:style w:type="paragraph" w:customStyle="1" w:styleId="11">
    <w:name w:val="表格文字（两侧对齐）"/>
    <w:basedOn w:val="1"/>
    <w:qFormat/>
    <w:uiPriority w:val="0"/>
    <w:pPr>
      <w:snapToGrid w:val="0"/>
    </w:pPr>
    <w:rPr>
      <w:rFonts w:eastAsia="宋体"/>
      <w:sz w:val="20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2022-04-02T03:34:00Z</dcterms:created>
  <dc:creator>zhujiabin</dc:creator>
  <cp:lastModifiedBy>沈铮晖</cp:lastModifiedBy>
  <dcterms:modified xsi:type="dcterms:W3CDTF">2024-12-30T07:51:54Z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