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44"/>
          <w:szCs w:val="44"/>
          <w:highlight w:val="none"/>
          <w:lang w:eastAsia="zh-CN"/>
        </w:rPr>
        <w:t>嘉兴银行内部资金转移定价项目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44"/>
          <w:szCs w:val="44"/>
          <w:highlight w:val="none"/>
          <w:lang w:eastAsia="zh-CN"/>
        </w:rPr>
        <w:t>竞争性磋商采购公告</w:t>
      </w:r>
    </w:p>
    <w:p>
      <w:pPr>
        <w:tabs>
          <w:tab w:val="left" w:pos="5565"/>
        </w:tabs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 xml:space="preserve"> 根据《国有金融企业集中采购管理暂行规定》，富昱项目管理咨询（嘉兴）有限公司受嘉兴银行股份有限公司的委托，现就以下项目进行竞争性磋商，特欢迎国内合格的供应商前来磋商，现将有关事项公告如下：</w:t>
      </w:r>
    </w:p>
    <w:p>
      <w:pPr>
        <w:snapToGrid w:val="0"/>
        <w:spacing w:before="0" w:after="0" w:line="480" w:lineRule="exact"/>
        <w:ind w:firstLine="420" w:firstLineChars="200"/>
        <w:rPr>
          <w:rFonts w:ascii="微软雅黑" w:hAnsi="微软雅黑" w:eastAsia="微软雅黑" w:cs="微软雅黑"/>
          <w:b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  <w:highlight w:val="none"/>
        </w:rPr>
        <w:t xml:space="preserve">一、招标项目编号: </w:t>
      </w:r>
      <w:r>
        <w:rPr>
          <w:rFonts w:hint="eastAsia" w:ascii="微软雅黑" w:hAnsi="微软雅黑" w:eastAsia="微软雅黑" w:cs="微软雅黑"/>
          <w:bCs/>
          <w:sz w:val="21"/>
          <w:szCs w:val="21"/>
          <w:highlight w:val="none"/>
        </w:rPr>
        <w:t>富昱JXYH-2024027</w:t>
      </w:r>
    </w:p>
    <w:p>
      <w:pPr>
        <w:snapToGrid w:val="0"/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bCs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  <w:highlight w:val="none"/>
        </w:rPr>
        <w:t>二、采购方式：</w:t>
      </w:r>
      <w:r>
        <w:rPr>
          <w:rFonts w:hint="eastAsia" w:ascii="微软雅黑" w:hAnsi="微软雅黑" w:eastAsia="微软雅黑" w:cs="微软雅黑"/>
          <w:bCs/>
          <w:sz w:val="21"/>
          <w:szCs w:val="21"/>
          <w:highlight w:val="none"/>
        </w:rPr>
        <w:t>竞争性磋商</w:t>
      </w:r>
    </w:p>
    <w:p>
      <w:pPr>
        <w:snapToGrid w:val="0"/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b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  <w:highlight w:val="none"/>
        </w:rPr>
        <w:t>三、项目名称：</w:t>
      </w:r>
      <w:r>
        <w:rPr>
          <w:rFonts w:hint="eastAsia" w:ascii="微软雅黑" w:hAnsi="微软雅黑" w:eastAsia="微软雅黑" w:cs="微软雅黑"/>
          <w:bCs/>
          <w:sz w:val="21"/>
          <w:szCs w:val="21"/>
          <w:highlight w:val="none"/>
        </w:rPr>
        <w:t>嘉兴银行内部资金转移定价项目</w:t>
      </w:r>
    </w:p>
    <w:p>
      <w:pPr>
        <w:snapToGrid w:val="0"/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b/>
          <w:bCs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  <w:highlight w:val="none"/>
        </w:rPr>
        <w:t>四、磋商采购内容：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highlight w:val="none"/>
        </w:rPr>
        <w:t xml:space="preserve"> </w:t>
      </w:r>
    </w:p>
    <w:tbl>
      <w:tblPr>
        <w:tblStyle w:val="5"/>
        <w:tblW w:w="83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4F4F4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2835"/>
        <w:gridCol w:w="993"/>
        <w:gridCol w:w="992"/>
        <w:gridCol w:w="155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4F4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709" w:type="dxa"/>
            <w:shd w:val="clear" w:color="auto" w:fill="F4F4F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48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835" w:type="dxa"/>
            <w:shd w:val="clear" w:color="auto" w:fill="F4F4F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48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993" w:type="dxa"/>
            <w:shd w:val="clear" w:color="auto" w:fill="F4F4F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48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992" w:type="dxa"/>
            <w:shd w:val="clear" w:color="auto" w:fill="F4F4F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48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1559" w:type="dxa"/>
            <w:shd w:val="clear" w:color="auto" w:fill="F4F4F4"/>
            <w:noWrap w:val="0"/>
            <w:vAlign w:val="center"/>
          </w:tcPr>
          <w:p>
            <w:pPr>
              <w:spacing w:before="72" w:beforeLines="30" w:after="0" w:line="28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招标控制价</w:t>
            </w:r>
          </w:p>
        </w:tc>
        <w:tc>
          <w:tcPr>
            <w:tcW w:w="1276" w:type="dxa"/>
            <w:shd w:val="clear" w:color="auto" w:fill="F4F4F4"/>
            <w:noWrap w:val="0"/>
            <w:vAlign w:val="center"/>
          </w:tcPr>
          <w:p>
            <w:pPr>
              <w:spacing w:before="0" w:after="0" w:line="48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4F4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709" w:type="dxa"/>
            <w:shd w:val="clear" w:color="auto" w:fill="F4F4F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48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835" w:type="dxa"/>
            <w:shd w:val="clear" w:color="auto" w:fill="F4F4F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6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  <w:highlight w:val="none"/>
              </w:rPr>
              <w:t>嘉兴银行内部资金转移定价项目</w:t>
            </w:r>
          </w:p>
        </w:tc>
        <w:tc>
          <w:tcPr>
            <w:tcW w:w="993" w:type="dxa"/>
            <w:shd w:val="clear" w:color="auto" w:fill="F4F4F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48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</w:rPr>
              <w:t>项</w:t>
            </w:r>
          </w:p>
        </w:tc>
        <w:tc>
          <w:tcPr>
            <w:tcW w:w="992" w:type="dxa"/>
            <w:shd w:val="clear" w:color="auto" w:fill="F4F4F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48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559" w:type="dxa"/>
            <w:shd w:val="clear" w:color="auto" w:fill="F4F4F4"/>
            <w:noWrap w:val="0"/>
            <w:vAlign w:val="center"/>
          </w:tcPr>
          <w:p>
            <w:pPr>
              <w:spacing w:before="0" w:after="0" w:line="480" w:lineRule="exact"/>
              <w:jc w:val="center"/>
              <w:rPr>
                <w:rFonts w:ascii="微软雅黑" w:hAnsi="微软雅黑" w:eastAsia="微软雅黑" w:cs="微软雅黑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highlight w:val="none"/>
              </w:rPr>
              <w:t>200万元</w:t>
            </w:r>
          </w:p>
        </w:tc>
        <w:tc>
          <w:tcPr>
            <w:tcW w:w="1276" w:type="dxa"/>
            <w:shd w:val="clear" w:color="auto" w:fill="F4F4F4"/>
            <w:noWrap w:val="0"/>
            <w:vAlign w:val="center"/>
          </w:tcPr>
          <w:p>
            <w:pPr>
              <w:spacing w:before="0" w:after="0" w:line="480" w:lineRule="exact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</w:rPr>
            </w:pPr>
          </w:p>
        </w:tc>
      </w:tr>
    </w:tbl>
    <w:p>
      <w:pPr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b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  <w:highlight w:val="none"/>
        </w:rPr>
        <w:t>五、合格投标人的资格要求:</w:t>
      </w:r>
    </w:p>
    <w:p>
      <w:pPr>
        <w:spacing w:before="0" w:after="0" w:line="480" w:lineRule="exact"/>
        <w:ind w:firstLine="478" w:firstLineChars="228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1、投标人符合《中华人民共和国政府采购法》第二十二条规定的资格条件；</w:t>
      </w:r>
    </w:p>
    <w:p>
      <w:pPr>
        <w:spacing w:before="0" w:after="0" w:line="480" w:lineRule="exact"/>
        <w:ind w:firstLine="478" w:firstLineChars="228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2、投标人未被“信用中国”（www.creditchina.gov.cn）、中国政府采购网（www.ccgp.gov.cn）列入失信被执行人、重大税收违法案件当事人名单、政府采购严重违法失信行为记录名单；</w:t>
      </w:r>
    </w:p>
    <w:p>
      <w:pPr>
        <w:spacing w:before="0" w:after="0" w:line="480" w:lineRule="exact"/>
        <w:ind w:firstLine="478" w:firstLineChars="228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3、2021年1月1日至今，投标人至少交付银行（政策性银行、村镇银行除外）总行级FTP系统项目3个，资格后审；</w:t>
      </w:r>
    </w:p>
    <w:p>
      <w:pPr>
        <w:spacing w:before="0" w:after="0" w:line="480" w:lineRule="exact"/>
        <w:ind w:firstLine="478" w:firstLineChars="228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4、本项目不接受联合体投标，但接受母公司、全资子公司组成的联合体进行投标。</w:t>
      </w:r>
    </w:p>
    <w:p>
      <w:pPr>
        <w:snapToGrid w:val="0"/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b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  <w:highlight w:val="none"/>
        </w:rPr>
        <w:t>六、报名及招标文件的获取：</w:t>
      </w:r>
    </w:p>
    <w:p>
      <w:pPr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highlight w:val="none"/>
        </w:rPr>
        <w:t>1、供应商注册：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凡有投标意向的单位，请先登录嘉兴官网，进入嘉兴银行招采系统完成供应商的注册，并通过审核。审核通过之后成为正式供应商，才具有投标资格。（注册流程见登录界面帮助中心，已注册请忽略）</w:t>
      </w:r>
    </w:p>
    <w:p>
      <w:pPr>
        <w:wordWrap w:val="0"/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招采系统链接：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u w:val="single"/>
        </w:rPr>
        <w:t>https://srm.bojx.com/zcxt.jsp</w:t>
      </w:r>
    </w:p>
    <w:p>
      <w:pPr>
        <w:spacing w:before="0" w:after="0" w:line="480" w:lineRule="exact"/>
        <w:ind w:firstLine="420" w:firstLineChars="200"/>
        <w:jc w:val="left"/>
        <w:rPr>
          <w:rFonts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highlight w:val="none"/>
        </w:rPr>
        <w:t>2、投标报名：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采用网上报名方式，供应商应于20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024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年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月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19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日至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2025年01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月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02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日，登录嘉兴银行招采系统，进行网上报名，按要求提交报名资料，审核通过后自行下载采购文件。（报名流程见登录界面帮助中心）</w:t>
      </w:r>
    </w:p>
    <w:p>
      <w:pPr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highlight w:val="none"/>
        </w:rPr>
        <w:t>3、购买招标文件：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highlight w:val="none"/>
        </w:rPr>
        <w:t>报名单位下载招标文件后，决定参与投标的，再缴纳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招标文件服务费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highlight w:val="none"/>
        </w:rPr>
        <w:t>，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如不参与投标则无需缴费。缴费成功视为正式报名，否则不受理其投标。</w:t>
      </w:r>
    </w:p>
    <w:p>
      <w:pPr>
        <w:spacing w:before="0" w:after="0" w:line="480" w:lineRule="exact"/>
        <w:ind w:firstLine="420" w:firstLineChars="200"/>
        <w:jc w:val="left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4、招标文件服务费：300元，售后不退。</w:t>
      </w:r>
    </w:p>
    <w:p>
      <w:pPr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highlight w:val="none"/>
        </w:rPr>
        <w:t>七、在线提交报名资料时，应提供以下材料（加盖公章PDF扫描件）：</w:t>
      </w:r>
    </w:p>
    <w:p>
      <w:pPr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1、报名人身份证复印件（须提供所在单位介绍信或授权委托书，格式自拟）；</w:t>
      </w:r>
    </w:p>
    <w:p>
      <w:pPr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2、营业执照副本复印件；</w:t>
      </w:r>
    </w:p>
    <w:p>
      <w:pPr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3、“信用中国”（www.creditchina.gov.cn）信用信息报告”；</w:t>
      </w:r>
    </w:p>
    <w:p>
      <w:pPr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4、“中国政府采购网（www.ccgp.gov.cn）政府采购严重违法失信行为记录名单”截图；</w:t>
      </w:r>
    </w:p>
    <w:p>
      <w:pPr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b/>
          <w:bCs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5、资格要求中其他前审资料（如有）。</w:t>
      </w:r>
    </w:p>
    <w:p>
      <w:pPr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highlight w:val="none"/>
        </w:rPr>
        <w:t>八、磋商保证金：</w:t>
      </w:r>
      <w:r>
        <w:rPr>
          <w:rFonts w:hint="eastAsia" w:ascii="微软雅黑" w:hAnsi="微软雅黑" w:eastAsia="微软雅黑" w:cs="微软雅黑"/>
          <w:bCs/>
          <w:sz w:val="21"/>
          <w:szCs w:val="21"/>
          <w:highlight w:val="none"/>
        </w:rPr>
        <w:t>无。</w:t>
      </w:r>
    </w:p>
    <w:p>
      <w:pPr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b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  <w:highlight w:val="none"/>
        </w:rPr>
        <w:t>九、响应文件的递交：</w:t>
      </w:r>
    </w:p>
    <w:p>
      <w:pPr>
        <w:spacing w:before="0" w:after="0" w:line="480" w:lineRule="exact"/>
        <w:ind w:firstLine="420" w:firstLineChars="200"/>
        <w:rPr>
          <w:rFonts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  <w:highlight w:val="none"/>
        </w:rPr>
        <w:t>投标文件的递交采取线上和线下并行模式：</w:t>
      </w:r>
    </w:p>
    <w:p>
      <w:pPr>
        <w:spacing w:before="0" w:after="0" w:line="480" w:lineRule="exact"/>
        <w:ind w:firstLine="420" w:firstLineChars="200"/>
        <w:rPr>
          <w:rFonts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报名成功后，供应商须同时提交电子版和纸质版投标文件，电子投标文件为纸质投标文件PDF扫描版：</w:t>
      </w:r>
    </w:p>
    <w:p>
      <w:pPr>
        <w:numPr>
          <w:ilvl w:val="0"/>
          <w:numId w:val="1"/>
        </w:numPr>
        <w:spacing w:before="0" w:after="0" w:line="480" w:lineRule="exact"/>
        <w:ind w:firstLine="420" w:firstLineChars="200"/>
        <w:rPr>
          <w:rFonts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电子投标文件：投标人应于20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年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01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月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02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日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09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时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00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分前将加密电子投标文件上传至嘉兴银行招采系统（上传及投标教程详见登录界面帮助中心）。</w:t>
      </w:r>
    </w:p>
    <w:p>
      <w:pPr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2、纸质投标文件：投标人应于20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年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01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月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02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日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09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时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00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分前将纸质投标文件密封送交到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highlight w:val="none"/>
        </w:rPr>
        <w:t>嘉兴银行总行大楼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highlight w:val="none"/>
          <w:lang w:val="en-US" w:eastAsia="zh-CN"/>
        </w:rPr>
        <w:t>230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highlight w:val="none"/>
        </w:rPr>
        <w:t>室（嘉兴市昌盛南路1001号）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，逾期送达或未密封将予以拒收。</w:t>
      </w:r>
    </w:p>
    <w:p>
      <w:pPr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b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  <w:highlight w:val="none"/>
        </w:rPr>
        <w:t>十、磋商时间及地点：</w:t>
      </w:r>
    </w:p>
    <w:p>
      <w:pPr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b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本次磋商将于20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年x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01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月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02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日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09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时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00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分在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highlight w:val="none"/>
        </w:rPr>
        <w:t>嘉兴银行总行大楼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highlight w:val="none"/>
          <w:lang w:val="en-US" w:eastAsia="zh-CN"/>
        </w:rPr>
        <w:t>231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highlight w:val="none"/>
        </w:rPr>
        <w:t>室（嘉兴市昌盛南路1001号）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开标，授权代表须持有效身份证明出席开标会议。</w:t>
      </w:r>
    </w:p>
    <w:p>
      <w:pPr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b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  <w:highlight w:val="none"/>
        </w:rPr>
        <w:t>十一、采购公告/更正公告发布于：</w:t>
      </w:r>
    </w:p>
    <w:p>
      <w:pPr>
        <w:spacing w:before="0" w:after="0" w:line="480" w:lineRule="exact"/>
        <w:ind w:firstLine="228" w:firstLineChars="109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 xml:space="preserve">  嘉兴银行官网：http://www.bojx.com/ </w:t>
      </w:r>
    </w:p>
    <w:p>
      <w:pPr>
        <w:spacing w:before="0" w:after="0" w:line="480" w:lineRule="exact"/>
        <w:ind w:firstLine="228" w:firstLineChars="109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 xml:space="preserve">  浙江政府采购网：https://zfcg.czt.zj.gov.cn/</w:t>
      </w:r>
    </w:p>
    <w:p>
      <w:pPr>
        <w:spacing w:before="0" w:after="0" w:line="480" w:lineRule="exact"/>
        <w:ind w:firstLine="228" w:firstLineChars="109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 xml:space="preserve">  金采网：http://www.cfcpn.com/ </w:t>
      </w:r>
    </w:p>
    <w:p>
      <w:pPr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b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highlight w:val="none"/>
        </w:rPr>
        <w:t>十</w:t>
      </w:r>
      <w:r>
        <w:rPr>
          <w:rFonts w:hint="eastAsia" w:ascii="微软雅黑" w:hAnsi="微软雅黑" w:eastAsia="微软雅黑" w:cs="微软雅黑"/>
          <w:b/>
          <w:sz w:val="21"/>
          <w:szCs w:val="21"/>
          <w:highlight w:val="none"/>
        </w:rPr>
        <w:t>二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highlight w:val="none"/>
        </w:rPr>
        <w:t>、业务咨询：</w:t>
      </w:r>
    </w:p>
    <w:p>
      <w:pPr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采购单位：嘉兴银行股份有限公司</w:t>
      </w:r>
    </w:p>
    <w:p>
      <w:pPr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联系人：朱先生</w:t>
      </w:r>
    </w:p>
    <w:p>
      <w:pPr>
        <w:spacing w:before="0" w:after="0" w:line="480" w:lineRule="exact"/>
        <w:ind w:firstLine="420" w:firstLineChars="200"/>
        <w:rPr>
          <w:rFonts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电话：0573-82080177，13957391107</w:t>
      </w:r>
    </w:p>
    <w:p>
      <w:pPr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代理机构：富昱项目管理咨询（嘉兴）有限公司</w:t>
      </w:r>
    </w:p>
    <w:p>
      <w:pPr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联系人：陈女士</w:t>
      </w:r>
    </w:p>
    <w:p>
      <w:pPr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联系电话：15888364231</w:t>
      </w:r>
    </w:p>
    <w:p>
      <w:pPr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highlight w:val="none"/>
        </w:rPr>
        <w:t>十三、合规：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嘉兴银行法律合规部  王先生   联系电话：0573-82080071</w:t>
      </w:r>
    </w:p>
    <w:p>
      <w:pPr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highlight w:val="none"/>
        </w:rPr>
        <w:t>十四、招采系统咨询：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供应商在系统注册、报名、投标时，如遇招采系统相关问题，请联系技术联系人杨先生，电话13858054390。</w:t>
      </w:r>
    </w:p>
    <w:p>
      <w:pPr>
        <w:snapToGrid w:val="0"/>
        <w:spacing w:before="0" w:after="0" w:line="480" w:lineRule="exact"/>
        <w:rPr>
          <w:rFonts w:hint="eastAsia" w:ascii="微软雅黑" w:hAnsi="微软雅黑" w:eastAsia="微软雅黑" w:cs="微软雅黑"/>
          <w:szCs w:val="21"/>
          <w:highlight w:val="none"/>
        </w:rPr>
      </w:pPr>
    </w:p>
    <w:p>
      <w:pPr>
        <w:snapToGrid w:val="0"/>
        <w:spacing w:before="0" w:after="0" w:line="480" w:lineRule="exact"/>
        <w:rPr>
          <w:rFonts w:hint="eastAsia" w:ascii="微软雅黑" w:hAnsi="微软雅黑" w:eastAsia="微软雅黑" w:cs="微软雅黑"/>
          <w:szCs w:val="21"/>
          <w:highlight w:val="none"/>
        </w:rPr>
      </w:pPr>
    </w:p>
    <w:p>
      <w:pPr>
        <w:snapToGrid w:val="0"/>
        <w:spacing w:before="0" w:after="0" w:line="480" w:lineRule="exact"/>
        <w:ind w:firstLine="440" w:firstLineChars="200"/>
        <w:jc w:val="right"/>
        <w:rPr>
          <w:rFonts w:ascii="微软雅黑" w:hAnsi="微软雅黑" w:eastAsia="微软雅黑" w:cs="微软雅黑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Cs w:val="21"/>
          <w:highlight w:val="none"/>
        </w:rPr>
        <w:t>  嘉兴银行股份有限公司</w:t>
      </w:r>
    </w:p>
    <w:p>
      <w:pPr>
        <w:snapToGrid w:val="0"/>
        <w:spacing w:before="0" w:after="0" w:line="480" w:lineRule="exact"/>
        <w:ind w:firstLine="440" w:firstLineChars="200"/>
        <w:jc w:val="right"/>
        <w:rPr>
          <w:rFonts w:ascii="微软雅黑" w:hAnsi="微软雅黑" w:eastAsia="微软雅黑" w:cs="微软雅黑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Cs w:val="21"/>
          <w:highlight w:val="none"/>
        </w:rPr>
        <w:t>富昱项目管理咨询（嘉兴）有限公司</w:t>
      </w:r>
    </w:p>
    <w:p>
      <w:pPr>
        <w:spacing w:before="0" w:after="0" w:line="480" w:lineRule="exact"/>
        <w:ind w:firstLine="440" w:firstLineChars="200"/>
        <w:jc w:val="right"/>
        <w:rPr>
          <w:rFonts w:ascii="微软雅黑" w:hAnsi="微软雅黑" w:eastAsia="微软雅黑" w:cs="微软雅黑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Cs w:val="21"/>
          <w:highlight w:val="none"/>
        </w:rPr>
        <w:t>20</w:t>
      </w:r>
      <w:r>
        <w:rPr>
          <w:rFonts w:hint="eastAsia" w:ascii="微软雅黑" w:hAnsi="微软雅黑" w:eastAsia="微软雅黑" w:cs="微软雅黑"/>
          <w:szCs w:val="21"/>
          <w:highlight w:val="none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szCs w:val="21"/>
          <w:highlight w:val="none"/>
        </w:rPr>
        <w:t>年</w:t>
      </w:r>
      <w:r>
        <w:rPr>
          <w:rFonts w:hint="eastAsia" w:ascii="微软雅黑" w:hAnsi="微软雅黑" w:eastAsia="微软雅黑" w:cs="微软雅黑"/>
          <w:szCs w:val="21"/>
          <w:highlight w:val="none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szCs w:val="21"/>
          <w:highlight w:val="none"/>
        </w:rPr>
        <w:t>月</w:t>
      </w:r>
      <w:r>
        <w:rPr>
          <w:rFonts w:hint="eastAsia" w:ascii="微软雅黑" w:hAnsi="微软雅黑" w:eastAsia="微软雅黑" w:cs="微软雅黑"/>
          <w:szCs w:val="21"/>
          <w:highlight w:val="none"/>
          <w:lang w:val="en-US" w:eastAsia="zh-CN"/>
        </w:rPr>
        <w:t>19</w:t>
      </w:r>
      <w:r>
        <w:rPr>
          <w:rFonts w:hint="eastAsia" w:ascii="微软雅黑" w:hAnsi="微软雅黑" w:eastAsia="微软雅黑" w:cs="微软雅黑"/>
          <w:szCs w:val="21"/>
          <w:highlight w:val="none"/>
        </w:rPr>
        <w:t>日</w:t>
      </w:r>
    </w:p>
    <w:p>
      <w:pPr>
        <w:spacing w:before="0" w:afterLines="50" w:line="48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附件：缴费方式</w:t>
      </w:r>
    </w:p>
    <w:tbl>
      <w:tblPr>
        <w:tblStyle w:val="5"/>
        <w:tblW w:w="70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4122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2" w:type="dxa"/>
            <w:gridSpan w:val="3"/>
            <w:noWrap w:val="0"/>
            <w:vAlign w:val="center"/>
          </w:tcPr>
          <w:p>
            <w:pPr>
              <w:spacing w:before="0" w:after="0" w:line="48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缴费方式（任选一种）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37" w:type="dxa"/>
            <w:gridSpan w:val="2"/>
            <w:noWrap w:val="0"/>
            <w:vAlign w:val="center"/>
          </w:tcPr>
          <w:p>
            <w:pPr>
              <w:spacing w:before="0" w:after="0" w:line="48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对公账户转账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before="0" w:after="0" w:line="48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支付宝收款码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5" w:type="dxa"/>
            <w:noWrap w:val="0"/>
            <w:vAlign w:val="center"/>
          </w:tcPr>
          <w:p>
            <w:pPr>
              <w:spacing w:before="0" w:after="0" w:line="480" w:lineRule="exact"/>
              <w:jc w:val="lef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名称：</w:t>
            </w:r>
          </w:p>
        </w:tc>
        <w:tc>
          <w:tcPr>
            <w:tcW w:w="4122" w:type="dxa"/>
            <w:noWrap w:val="0"/>
            <w:vAlign w:val="center"/>
          </w:tcPr>
          <w:p>
            <w:pPr>
              <w:spacing w:before="0" w:after="0" w:line="480" w:lineRule="exact"/>
              <w:jc w:val="lef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富昱项目管理咨询（嘉兴）有限公司</w:t>
            </w:r>
          </w:p>
        </w:tc>
        <w:tc>
          <w:tcPr>
            <w:tcW w:w="1905" w:type="dxa"/>
            <w:vMerge w:val="restart"/>
            <w:noWrap w:val="0"/>
            <w:vAlign w:val="center"/>
          </w:tcPr>
          <w:p>
            <w:pPr>
              <w:pStyle w:val="3"/>
              <w:spacing w:before="0" w:after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drawing>
                <wp:inline distT="0" distB="0" distL="114300" distR="114300">
                  <wp:extent cx="872490" cy="879475"/>
                  <wp:effectExtent l="0" t="0" r="3810" b="15875"/>
                  <wp:docPr id="1" name="图片 1" descr="1139236121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39236121 (2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490" cy="87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5" w:type="dxa"/>
            <w:noWrap w:val="0"/>
            <w:vAlign w:val="center"/>
          </w:tcPr>
          <w:p>
            <w:pPr>
              <w:spacing w:before="0" w:after="0" w:line="480" w:lineRule="exact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账号：</w:t>
            </w:r>
          </w:p>
        </w:tc>
        <w:tc>
          <w:tcPr>
            <w:tcW w:w="4122" w:type="dxa"/>
            <w:noWrap w:val="0"/>
            <w:vAlign w:val="center"/>
          </w:tcPr>
          <w:p>
            <w:pPr>
              <w:spacing w:before="0" w:after="0" w:line="480" w:lineRule="exact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201000357608712</w:t>
            </w:r>
          </w:p>
        </w:tc>
        <w:tc>
          <w:tcPr>
            <w:tcW w:w="1905" w:type="dxa"/>
            <w:vMerge w:val="continue"/>
            <w:noWrap w:val="0"/>
            <w:vAlign w:val="center"/>
          </w:tcPr>
          <w:p>
            <w:pPr>
              <w:spacing w:before="0" w:after="0" w:line="480" w:lineRule="exact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5" w:type="dxa"/>
            <w:noWrap w:val="0"/>
            <w:vAlign w:val="center"/>
          </w:tcPr>
          <w:p>
            <w:pPr>
              <w:spacing w:before="0" w:after="0" w:line="480" w:lineRule="exact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开户行：</w:t>
            </w:r>
          </w:p>
        </w:tc>
        <w:tc>
          <w:tcPr>
            <w:tcW w:w="4122" w:type="dxa"/>
            <w:noWrap w:val="0"/>
            <w:vAlign w:val="center"/>
          </w:tcPr>
          <w:p>
            <w:pPr>
              <w:spacing w:before="0" w:after="0" w:line="480" w:lineRule="exact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浙江禾城农村商业银行栖真支行</w:t>
            </w:r>
          </w:p>
        </w:tc>
        <w:tc>
          <w:tcPr>
            <w:tcW w:w="1905" w:type="dxa"/>
            <w:vMerge w:val="continue"/>
            <w:noWrap w:val="0"/>
            <w:vAlign w:val="center"/>
          </w:tcPr>
          <w:p>
            <w:pPr>
              <w:spacing w:before="0" w:after="0" w:line="480" w:lineRule="exact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7042" w:type="dxa"/>
            <w:gridSpan w:val="3"/>
            <w:noWrap w:val="0"/>
            <w:vAlign w:val="center"/>
          </w:tcPr>
          <w:p>
            <w:pPr>
              <w:spacing w:before="0" w:after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备注：</w:t>
            </w:r>
          </w:p>
          <w:p>
            <w:pPr>
              <w:spacing w:before="0" w:after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 如参与投标，请将招标文件服务费（300元）支付至上述账户；</w:t>
            </w:r>
          </w:p>
          <w:p>
            <w:pPr>
              <w:spacing w:before="0" w:after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 请在附言备注企业名称、项目名称；</w:t>
            </w:r>
          </w:p>
          <w:p>
            <w:pPr>
              <w:spacing w:before="0" w:after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 报名以及开票事宜请联系代理公司联系人：陈女士，15888364231。</w:t>
            </w:r>
          </w:p>
        </w:tc>
      </w:tr>
    </w:tbl>
    <w:p/>
    <w:sectPr>
      <w:pgSz w:w="11906" w:h="16838"/>
      <w:pgMar w:top="567" w:right="1134" w:bottom="567" w:left="1134" w:header="680" w:footer="82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019E3"/>
    <w:multiLevelType w:val="singleLevel"/>
    <w:tmpl w:val="6BC019E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DE4"/>
    <w:rsid w:val="00B65DE4"/>
    <w:rsid w:val="0412470C"/>
    <w:rsid w:val="1F4C0A4D"/>
    <w:rsid w:val="295F7170"/>
    <w:rsid w:val="58C415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ind w:left="120"/>
    </w:pPr>
    <w:rPr>
      <w:rFonts w:ascii="宋体" w:hAnsi="宋体" w:eastAsia="宋体" w:cs="宋体"/>
      <w:sz w:val="21"/>
      <w:szCs w:val="21"/>
      <w:lang w:val="en-US" w:eastAsia="zh-CN" w:bidi="ar-SA"/>
    </w:rPr>
  </w:style>
  <w:style w:type="paragraph" w:styleId="4">
    <w:name w:val="Date"/>
    <w:basedOn w:val="1"/>
    <w:next w:val="1"/>
    <w:qFormat/>
    <w:uiPriority w:val="0"/>
    <w:pPr>
      <w:ind w:left="2500" w:leftChars="2500"/>
    </w:pPr>
    <w:rPr>
      <w:rFonts w:eastAsia="楷体_GB2312"/>
      <w:sz w:val="32"/>
      <w:szCs w:val="20"/>
    </w:rPr>
  </w:style>
  <w:style w:type="paragraph" w:customStyle="1" w:styleId="7">
    <w:name w:val="表格文字"/>
    <w:basedOn w:val="1"/>
    <w:next w:val="3"/>
    <w:qFormat/>
    <w:uiPriority w:val="0"/>
    <w:pPr>
      <w:adjustRightInd w:val="0"/>
      <w:spacing w:line="420" w:lineRule="atLeast"/>
      <w:jc w:val="left"/>
      <w:textAlignment w:val="baseline"/>
    </w:pPr>
    <w:rPr>
      <w:rFonts w:ascii="Times New Roman" w:hAnsi="Times New Roman" w:cs="Times New Roman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226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2024-02-18T00:57:00Z</dcterms:created>
  <dc:creator>朱佳斌</dc:creator>
  <cp:lastModifiedBy>admin</cp:lastModifiedBy>
  <dcterms:modified xsi:type="dcterms:W3CDTF">2024-12-19T08:05:21Z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