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bidi w:val="0"/>
        <w:spacing w:before="0" w:after="0" w:line="500" w:lineRule="exact"/>
        <w:ind w:firstLine="480" w:firstLineChars="109"/>
        <w:rPr>
          <w:rFonts w:hint="eastAsia" w:ascii="微软雅黑" w:hAnsi="微软雅黑" w:eastAsia="微软雅黑" w:cs="微软雅黑"/>
          <w:sz w:val="44"/>
          <w:szCs w:val="44"/>
          <w:highlight w:val="none"/>
        </w:rPr>
      </w:pPr>
      <w:bookmarkStart w:id="1" w:name="_GoBack"/>
      <w:bookmarkStart w:id="0" w:name="_Toc4824"/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嘉兴银行漏洞管理平台项目</w:t>
      </w:r>
      <w:r>
        <w:rPr>
          <w:rFonts w:hint="eastAsia" w:ascii="微软雅黑" w:hAnsi="微软雅黑" w:eastAsia="微软雅黑" w:cs="微软雅黑"/>
          <w:sz w:val="44"/>
          <w:szCs w:val="44"/>
          <w:highlight w:val="none"/>
        </w:rPr>
        <w:t>公开招标采购公告</w:t>
      </w:r>
      <w:bookmarkEnd w:id="1"/>
      <w:bookmarkEnd w:id="0"/>
    </w:p>
    <w:p>
      <w:pPr>
        <w:pStyle w:val="7"/>
        <w:spacing w:before="156" w:beforeLines="50" w:after="0" w:line="480" w:lineRule="exact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根据《国有金融企业集中采购管理暂行规定》，富昱项目管理咨询（嘉兴）有限公司受嘉兴银行股份有限公司的委托，现就以下项目进行公开招标，特欢迎国内合格的供应商前来投标，现将有关事项公告如下：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一、招标项目编号：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富昱JXYH-2024026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二、采购方式：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公开招标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三、项目名称：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嘉兴银行漏洞管理平台项目</w:t>
      </w:r>
    </w:p>
    <w:p>
      <w:pPr>
        <w:snapToGrid w:val="0"/>
        <w:spacing w:before="0" w:after="93" w:afterLines="30" w:line="480" w:lineRule="exact"/>
        <w:ind w:firstLine="420" w:firstLineChars="200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四、招标采购内容：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 xml:space="preserve"> </w:t>
      </w:r>
    </w:p>
    <w:tbl>
      <w:tblPr>
        <w:tblStyle w:val="8"/>
        <w:tblW w:w="83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4F4F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835"/>
        <w:gridCol w:w="993"/>
        <w:gridCol w:w="992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283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项目名称</w:t>
            </w:r>
          </w:p>
        </w:tc>
        <w:tc>
          <w:tcPr>
            <w:tcW w:w="993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单位</w:t>
            </w:r>
          </w:p>
        </w:tc>
        <w:tc>
          <w:tcPr>
            <w:tcW w:w="992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</w:t>
            </w:r>
          </w:p>
        </w:tc>
        <w:tc>
          <w:tcPr>
            <w:tcW w:w="1559" w:type="dxa"/>
            <w:shd w:val="clear" w:color="auto" w:fill="F4F4F4"/>
            <w:noWrap w:val="0"/>
            <w:vAlign w:val="center"/>
          </w:tcPr>
          <w:p>
            <w:pPr>
              <w:spacing w:before="93" w:beforeLines="30" w:after="0" w:line="2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招标控制价</w:t>
            </w:r>
          </w:p>
        </w:tc>
        <w:tc>
          <w:tcPr>
            <w:tcW w:w="1276" w:type="dxa"/>
            <w:shd w:val="clear" w:color="auto" w:fill="F4F4F4"/>
            <w:noWrap w:val="0"/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4F4F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09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2835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36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漏洞管理平台</w:t>
            </w:r>
          </w:p>
        </w:tc>
        <w:tc>
          <w:tcPr>
            <w:tcW w:w="993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项</w:t>
            </w:r>
          </w:p>
        </w:tc>
        <w:tc>
          <w:tcPr>
            <w:tcW w:w="992" w:type="dxa"/>
            <w:shd w:val="clear" w:color="auto" w:fill="F4F4F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48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F4F4F4"/>
            <w:noWrap w:val="0"/>
            <w:vAlign w:val="center"/>
          </w:tcPr>
          <w:p>
            <w:pPr>
              <w:spacing w:before="0" w:after="0" w:line="480" w:lineRule="exact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46万元</w:t>
            </w:r>
          </w:p>
        </w:tc>
        <w:tc>
          <w:tcPr>
            <w:tcW w:w="1276" w:type="dxa"/>
            <w:shd w:val="clear" w:color="auto" w:fill="F4F4F4"/>
            <w:noWrap w:val="0"/>
            <w:vAlign w:val="center"/>
          </w:tcPr>
          <w:p>
            <w:pPr>
              <w:spacing w:before="0" w:after="0" w:line="480" w:lineRule="exact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</w:tr>
    </w:tbl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五、合格投标人的资格要求:</w:t>
      </w:r>
    </w:p>
    <w:p>
      <w:pPr>
        <w:spacing w:before="0" w:after="0" w:line="480" w:lineRule="exact"/>
        <w:ind w:firstLine="478" w:firstLineChars="228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1、投标人符合《中华人民共和国政府采购法》第二十二条规定的资格条件；</w:t>
      </w:r>
    </w:p>
    <w:p>
      <w:pPr>
        <w:spacing w:before="0" w:after="0" w:line="480" w:lineRule="exact"/>
        <w:ind w:firstLine="478" w:firstLineChars="228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2、投标人未被“信用中国”（www.creditchina.gov.cn）、中国政府采购网（www.ccgp.gov.cn）列入失信被执行人、重大税收违法案件当事人名单、政府采购严重违法失信行为记录名单；</w:t>
      </w:r>
    </w:p>
    <w:p>
      <w:pPr>
        <w:spacing w:before="0" w:after="0" w:line="480" w:lineRule="exact"/>
        <w:ind w:firstLine="478" w:firstLineChars="228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3、本项目不接受联合体投标。</w:t>
      </w:r>
    </w:p>
    <w:p>
      <w:pPr>
        <w:snapToGrid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六、报名及招标文件的获取：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1、供应商注册：</w:t>
      </w:r>
      <w:r>
        <w:rPr>
          <w:rFonts w:hint="eastAsia" w:ascii="微软雅黑" w:hAnsi="微软雅黑" w:eastAsia="微软雅黑" w:cs="微软雅黑"/>
          <w:sz w:val="21"/>
          <w:szCs w:val="21"/>
        </w:rPr>
        <w:t>凡有投标意向的单位，请先登录嘉兴官网，进入嘉兴银行招采系统完成供应商的注册，并通过审核。审核通过之后成为正式供应商，才具有投标资格。（注册流程见登录界面帮助中心，已注册请忽略）</w:t>
      </w:r>
    </w:p>
    <w:p>
      <w:pPr>
        <w:wordWrap w:val="0"/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招采系统链接：</w:t>
      </w:r>
      <w:r>
        <w:rPr>
          <w:rFonts w:hint="eastAsia" w:ascii="微软雅黑" w:hAnsi="微软雅黑" w:eastAsia="微软雅黑" w:cs="微软雅黑"/>
          <w:sz w:val="21"/>
          <w:szCs w:val="21"/>
          <w:u w:val="single"/>
        </w:rPr>
        <w:t>https://srm.bojx.com/zcxt.jsp</w:t>
      </w:r>
    </w:p>
    <w:p>
      <w:pPr>
        <w:spacing w:before="0" w:after="0" w:line="480" w:lineRule="exact"/>
        <w:ind w:firstLine="420" w:firstLineChars="20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2、投标报名：</w:t>
      </w:r>
      <w:r>
        <w:rPr>
          <w:rFonts w:hint="eastAsia" w:ascii="微软雅黑" w:hAnsi="微软雅黑" w:eastAsia="微软雅黑" w:cs="微软雅黑"/>
          <w:sz w:val="21"/>
          <w:szCs w:val="21"/>
        </w:rPr>
        <w:t>采用网上报名方式，供应商应于20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24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12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09</w:t>
      </w:r>
      <w:r>
        <w:rPr>
          <w:rFonts w:hint="eastAsia" w:ascii="微软雅黑" w:hAnsi="微软雅黑" w:eastAsia="微软雅黑" w:cs="微软雅黑"/>
          <w:sz w:val="21"/>
          <w:szCs w:val="21"/>
        </w:rPr>
        <w:t>日至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12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17</w:t>
      </w:r>
      <w:r>
        <w:rPr>
          <w:rFonts w:hint="eastAsia" w:ascii="微软雅黑" w:hAnsi="微软雅黑" w:eastAsia="微软雅黑" w:cs="微软雅黑"/>
          <w:sz w:val="21"/>
          <w:szCs w:val="21"/>
        </w:rPr>
        <w:t>日，登录嘉兴银行招采系统，进行网上报名，按要求提交报名资料，审核通过后自行下载采购文件。（报名流程见登录界面帮助中心）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3、购买招标文件：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报名单位下载招标文件后，决定参与投标的，再缴纳</w:t>
      </w:r>
      <w:r>
        <w:rPr>
          <w:rFonts w:hint="eastAsia" w:ascii="微软雅黑" w:hAnsi="微软雅黑" w:eastAsia="微软雅黑" w:cs="微软雅黑"/>
          <w:sz w:val="21"/>
          <w:szCs w:val="21"/>
        </w:rPr>
        <w:t>招标文件服务费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sz w:val="21"/>
          <w:szCs w:val="21"/>
        </w:rPr>
        <w:t>如不参与投标则无需缴费。缴费成功视为正式报名，否则不受理其投标。</w:t>
      </w:r>
    </w:p>
    <w:p>
      <w:pPr>
        <w:spacing w:before="0" w:after="0" w:line="480" w:lineRule="exact"/>
        <w:ind w:firstLine="420" w:firstLineChars="20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4、招标文件服务费：300元，售后不退。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七、在线提交报名资料时，应提供以下材料（加盖公章PDF扫描件）：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1、报名人身份证复印件（须提供所在单位介绍信或授权委托书，格式自拟）；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2、营业执照副本复印件；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3、“信用中国”（www.creditchina.gov.cn）信用信息报告”；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4、“中国政府采购网（www.ccgp.gov.cn）政府采购严重违法失信行为记录名单”截图；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5、资格要求中其他前审资料（如有）。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八、投标保证金：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无。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九、POC测试：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1、测试时间：2024年12月14日——2024年12月18日（节假日除外）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2、测试地点：嘉兴银行总行大楼（嘉兴市昌盛南路1001号）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Cs/>
          <w:sz w:val="21"/>
          <w:szCs w:val="21"/>
        </w:rPr>
        <w:t>3、测试联系人：</w:t>
      </w:r>
      <w:r>
        <w:rPr>
          <w:rFonts w:hint="eastAsia" w:ascii="微软雅黑" w:hAnsi="微软雅黑" w:eastAsia="微软雅黑" w:cs="微软雅黑"/>
          <w:bCs/>
          <w:sz w:val="21"/>
          <w:szCs w:val="21"/>
          <w:highlight w:val="none"/>
          <w:lang w:val="en-US" w:eastAsia="zh-CN"/>
        </w:rPr>
        <w:t>顾先生/17858351579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十、 投标文件的递交：</w:t>
      </w:r>
    </w:p>
    <w:p>
      <w:p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投标文件的递交采取线上和线下并行模式：</w:t>
      </w:r>
    </w:p>
    <w:p>
      <w:p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报名成功后，供应商须同时提交电子版和纸质版投标文件，电子投标文件为纸质投标文件PDF扫描版：</w:t>
      </w:r>
    </w:p>
    <w:p>
      <w:pPr>
        <w:numPr>
          <w:ilvl w:val="0"/>
          <w:numId w:val="1"/>
        </w:num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电子投标文件：投标人应于2024年12月30日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09时00分</w:t>
      </w:r>
      <w:r>
        <w:rPr>
          <w:rFonts w:hint="eastAsia" w:ascii="微软雅黑" w:hAnsi="微软雅黑" w:eastAsia="微软雅黑" w:cs="微软雅黑"/>
          <w:sz w:val="21"/>
          <w:szCs w:val="21"/>
        </w:rPr>
        <w:t>前将加密电子投标文件上传至嘉兴银行招采系统（上传及投标教程详见登录界面帮助中心）。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2、纸质投标文件：投标人应于2024年12月30日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09时00分</w:t>
      </w:r>
      <w:r>
        <w:rPr>
          <w:rFonts w:hint="eastAsia" w:ascii="微软雅黑" w:hAnsi="微软雅黑" w:eastAsia="微软雅黑" w:cs="微软雅黑"/>
          <w:sz w:val="21"/>
          <w:szCs w:val="21"/>
        </w:rPr>
        <w:t>前将纸质投标文件密封送交到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嘉兴银行总行大楼230室（嘉兴市昌盛南路1001号）</w:t>
      </w:r>
      <w:r>
        <w:rPr>
          <w:rFonts w:hint="eastAsia" w:ascii="微软雅黑" w:hAnsi="微软雅黑" w:eastAsia="微软雅黑" w:cs="微软雅黑"/>
          <w:sz w:val="21"/>
          <w:szCs w:val="21"/>
        </w:rPr>
        <w:t>，逾期送达或未密封将予以拒收。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十一、开标时间及地点：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本次招标将于2024年12月30日09时00分在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嘉兴银行总行大楼231室（嘉兴市昌盛南路1001号）</w:t>
      </w:r>
      <w:r>
        <w:rPr>
          <w:rFonts w:hint="eastAsia" w:ascii="微软雅黑" w:hAnsi="微软雅黑" w:eastAsia="微软雅黑" w:cs="微软雅黑"/>
          <w:sz w:val="21"/>
          <w:szCs w:val="21"/>
        </w:rPr>
        <w:t>开标，授权代表须持有效身份证明出席开标会议。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十二、招标公告/更正公告发布于：</w:t>
      </w:r>
    </w:p>
    <w:p>
      <w:pPr>
        <w:spacing w:before="0" w:after="0" w:line="480" w:lineRule="exact"/>
        <w:ind w:firstLine="228" w:firstLineChars="10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嘉兴银行官网：http://www.bojx.com/ </w:t>
      </w:r>
    </w:p>
    <w:p>
      <w:pPr>
        <w:spacing w:before="0" w:after="0" w:line="480" w:lineRule="exact"/>
        <w:ind w:firstLine="228" w:firstLineChars="10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浙江政府采购网：https://zfcg.czt.zj.gov.cn/</w:t>
      </w:r>
    </w:p>
    <w:p>
      <w:pPr>
        <w:spacing w:before="0" w:after="0" w:line="480" w:lineRule="exact"/>
        <w:ind w:firstLine="228" w:firstLineChars="109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 xml:space="preserve">  金采网：http://www.cfcpn.com/ 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十三、业务咨询：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采购单位：嘉兴银行股份有限公司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联系人：朱先生</w:t>
      </w:r>
    </w:p>
    <w:p>
      <w:pPr>
        <w:spacing w:before="0" w:after="0" w:line="480" w:lineRule="exact"/>
        <w:ind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电话：0573-82080177，13957391107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代理机构：富昱项目管理咨询（嘉兴）有限公司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联系人：陈女士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联系电话：15888364231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十四、合规：</w:t>
      </w:r>
      <w:r>
        <w:rPr>
          <w:rFonts w:hint="eastAsia" w:ascii="微软雅黑" w:hAnsi="微软雅黑" w:eastAsia="微软雅黑" w:cs="微软雅黑"/>
          <w:sz w:val="21"/>
          <w:szCs w:val="21"/>
        </w:rPr>
        <w:t>嘉兴银行法律合规部王先生，电话：0573-82080071。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十五、招采系统咨询：</w:t>
      </w:r>
      <w:r>
        <w:rPr>
          <w:rFonts w:hint="eastAsia" w:ascii="微软雅黑" w:hAnsi="微软雅黑" w:eastAsia="微软雅黑" w:cs="微软雅黑"/>
          <w:sz w:val="21"/>
          <w:szCs w:val="21"/>
        </w:rPr>
        <w:t>供应商在系统注册、报名、投标时，如遇招采系统相关问题，请联系技术联系人杨先生，电话13858054390。</w:t>
      </w: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yellow"/>
        </w:rPr>
      </w:pPr>
    </w:p>
    <w:p>
      <w:pPr>
        <w:spacing w:before="0" w:after="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napToGrid w:val="0"/>
        <w:spacing w:before="0" w:after="0" w:line="480" w:lineRule="exact"/>
        <w:ind w:firstLine="480" w:firstLineChars="200"/>
        <w:jc w:val="righ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  嘉兴银行股份有限公司</w:t>
      </w:r>
    </w:p>
    <w:p>
      <w:pPr>
        <w:snapToGrid w:val="0"/>
        <w:spacing w:before="0" w:after="0" w:line="480" w:lineRule="exact"/>
        <w:ind w:firstLine="480" w:firstLineChars="200"/>
        <w:jc w:val="righ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富昱项目管理咨询（嘉兴）有限公司</w:t>
      </w:r>
    </w:p>
    <w:p>
      <w:pPr>
        <w:spacing w:before="0" w:after="0" w:line="480" w:lineRule="exact"/>
        <w:ind w:firstLine="480" w:firstLineChars="200"/>
        <w:jc w:val="right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2024年12月09日</w:t>
      </w:r>
    </w:p>
    <w:p>
      <w:pPr>
        <w:spacing w:before="0" w:after="156" w:afterLines="50" w:line="480" w:lineRule="exact"/>
        <w:rPr>
          <w:rFonts w:hint="eastAsia" w:ascii="微软雅黑" w:hAnsi="微软雅黑" w:eastAsia="微软雅黑" w:cs="微软雅黑"/>
          <w:sz w:val="21"/>
          <w:szCs w:val="21"/>
        </w:rPr>
      </w:pPr>
    </w:p>
    <w:p>
      <w:pPr>
        <w:spacing w:before="0" w:after="156" w:afterLines="50" w:line="48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附件：缴费方式</w:t>
      </w:r>
    </w:p>
    <w:tbl>
      <w:tblPr>
        <w:tblStyle w:val="8"/>
        <w:tblW w:w="7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861"/>
        <w:gridCol w:w="3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70" w:type="dxa"/>
            <w:gridSpan w:val="3"/>
            <w:noWrap w:val="0"/>
            <w:vAlign w:val="center"/>
          </w:tcPr>
          <w:p>
            <w:pPr>
              <w:spacing w:before="0" w:after="78" w:afterLines="25"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缴费方式（任选一种）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2" w:type="dxa"/>
            <w:gridSpan w:val="2"/>
            <w:noWrap w:val="0"/>
            <w:vAlign w:val="center"/>
          </w:tcPr>
          <w:p>
            <w:pPr>
              <w:spacing w:before="0" w:after="78" w:afterLines="25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对公账户转账</w:t>
            </w:r>
          </w:p>
        </w:tc>
        <w:tc>
          <w:tcPr>
            <w:tcW w:w="3148" w:type="dxa"/>
            <w:noWrap w:val="0"/>
            <w:vAlign w:val="center"/>
          </w:tcPr>
          <w:p>
            <w:pPr>
              <w:spacing w:before="0" w:after="78" w:afterLines="25"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收款码（支付宝）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名称：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富昱项目管理咨询(嘉兴)有限公司</w:t>
            </w:r>
          </w:p>
        </w:tc>
        <w:tc>
          <w:tcPr>
            <w:tcW w:w="3148" w:type="dxa"/>
            <w:vMerge w:val="restart"/>
            <w:noWrap w:val="0"/>
            <w:vAlign w:val="center"/>
          </w:tcPr>
          <w:p>
            <w:pPr>
              <w:pStyle w:val="5"/>
              <w:spacing w:before="0" w:after="0" w:line="360" w:lineRule="auto"/>
              <w:ind w:firstLine="482"/>
              <w:jc w:val="center"/>
              <w:rPr>
                <w:rFonts w:hint="eastAsia"/>
              </w:rPr>
            </w:pPr>
            <w:r>
              <w:drawing>
                <wp:inline distT="0" distB="0" distL="114300" distR="114300">
                  <wp:extent cx="898525" cy="897255"/>
                  <wp:effectExtent l="0" t="0" r="15875" b="171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账号：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201000357608712</w:t>
            </w:r>
          </w:p>
        </w:tc>
        <w:tc>
          <w:tcPr>
            <w:tcW w:w="3148" w:type="dxa"/>
            <w:vMerge w:val="continue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dxa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开户行：</w:t>
            </w:r>
          </w:p>
        </w:tc>
        <w:tc>
          <w:tcPr>
            <w:tcW w:w="3861" w:type="dxa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浙江禾城农村商业银行栖真支行</w:t>
            </w:r>
          </w:p>
        </w:tc>
        <w:tc>
          <w:tcPr>
            <w:tcW w:w="3148" w:type="dxa"/>
            <w:vMerge w:val="continue"/>
            <w:noWrap w:val="0"/>
            <w:vAlign w:val="center"/>
          </w:tcPr>
          <w:p>
            <w:pPr>
              <w:spacing w:before="0" w:after="78" w:afterLines="25" w:line="360" w:lineRule="exact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7970" w:type="dxa"/>
            <w:gridSpan w:val="3"/>
            <w:noWrap w:val="0"/>
            <w:vAlign w:val="center"/>
          </w:tcPr>
          <w:p>
            <w:pPr>
              <w:spacing w:before="0" w:after="78" w:afterLines="25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备注：</w:t>
            </w:r>
          </w:p>
          <w:p>
            <w:pPr>
              <w:spacing w:before="0" w:after="78" w:afterLines="25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 如参与投标，请将招标文件服务费（300元）支付至上述账户；</w:t>
            </w:r>
          </w:p>
          <w:p>
            <w:pPr>
              <w:spacing w:before="0" w:after="78" w:afterLines="25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 请在附言备注企业名称、项目名称；</w:t>
            </w:r>
          </w:p>
          <w:p>
            <w:pPr>
              <w:spacing w:before="0" w:after="78" w:afterLines="25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 报名以及开票事宜请联系代理公司联系人：陈女士，15888364231。</w:t>
            </w:r>
          </w:p>
        </w:tc>
      </w:tr>
    </w:tbl>
    <w:p/>
    <w:sectPr>
      <w:pgSz w:w="11906" w:h="16838"/>
      <w:pgMar w:top="567" w:right="1134" w:bottom="567" w:left="1134" w:header="680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19E3"/>
    <w:multiLevelType w:val="singleLevel"/>
    <w:tmpl w:val="6BC019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092E"/>
    <w:rsid w:val="0412470C"/>
    <w:rsid w:val="268E2031"/>
    <w:rsid w:val="7CDD0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6"/>
    <w:qFormat/>
    <w:uiPriority w:val="0"/>
  </w:style>
  <w:style w:type="paragraph" w:styleId="6">
    <w:name w:val="Date"/>
    <w:basedOn w:val="1"/>
    <w:next w:val="1"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7">
    <w:name w:val="Plain Text"/>
    <w:basedOn w:val="1"/>
    <w:next w:val="4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2024-04-24T04:22:00Z</dcterms:created>
  <dc:creator>朱佳斌</dc:creator>
  <cp:lastModifiedBy>admin</cp:lastModifiedBy>
  <dcterms:modified xsi:type="dcterms:W3CDTF">2024-12-09T06:13:15Z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