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嘉兴银行2024-2025年度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信创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网络设备供应商入围项目公开招标采购公告</w:t>
      </w: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156" w:beforeLines="50" w:after="0" w:line="480" w:lineRule="exact"/>
        <w:ind w:left="0" w:leftChars="0" w:right="0" w:rightChars="0"/>
        <w:jc w:val="left"/>
        <w:textAlignment w:val="auto"/>
        <w:outlineLvl w:val="9"/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</w:rPr>
        <w:t>根据《国有金融企业集中采购管理暂行规定》，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highlight w:val="none"/>
          <w:lang w:eastAsia="zh-CN"/>
        </w:rPr>
        <w:t>嘉兴市千秋工程咨询有限公司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</w:rPr>
        <w:t>受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  <w:lang w:eastAsia="zh-CN"/>
        </w:rPr>
        <w:t>嘉兴银行股份有限公司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</w:rPr>
        <w:t>的委托，现就以下项目进行公开招标，特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  <w:lang w:val="en-US" w:eastAsia="zh-CN"/>
        </w:rPr>
        <w:t>欢迎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</w:rPr>
        <w:t>国内合格的供应商前来投标，现将有关事项公告如下：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480" w:lineRule="exact"/>
        <w:ind w:left="0" w:leftChars="0" w:right="0" w:rightChars="0" w:firstLine="420" w:firstLineChars="200"/>
        <w:textAlignment w:val="auto"/>
        <w:outlineLvl w:val="9"/>
        <w:rPr>
          <w:rFonts w:hint="eastAsia" w:ascii="微软雅黑" w:hAnsi="微软雅黑" w:eastAsia="微软雅黑" w:cs="微软雅黑"/>
          <w:b/>
          <w:color w:val="auto"/>
          <w:sz w:val="21"/>
          <w:szCs w:val="21"/>
          <w:highlight w:val="none"/>
        </w:rPr>
      </w:pPr>
      <w:r>
        <w:rPr>
          <w:rFonts w:hint="eastAsia" w:ascii="微软雅黑" w:hAnsi="微软雅黑" w:eastAsia="微软雅黑" w:cs="微软雅黑"/>
          <w:b/>
          <w:color w:val="auto"/>
          <w:sz w:val="21"/>
          <w:szCs w:val="21"/>
          <w:highlight w:val="none"/>
        </w:rPr>
        <w:t>一、招标项目编号</w:t>
      </w:r>
      <w:r>
        <w:rPr>
          <w:rFonts w:hint="eastAsia" w:ascii="微软雅黑" w:hAnsi="微软雅黑" w:eastAsia="微软雅黑" w:cs="微软雅黑"/>
          <w:b/>
          <w:color w:val="auto"/>
          <w:sz w:val="21"/>
          <w:szCs w:val="21"/>
          <w:highlight w:val="none"/>
          <w:lang w:eastAsia="zh-CN"/>
        </w:rPr>
        <w:t>：</w:t>
      </w:r>
      <w:r>
        <w:rPr>
          <w:rFonts w:hint="eastAsia" w:ascii="微软雅黑" w:hAnsi="微软雅黑" w:eastAsia="微软雅黑" w:cs="微软雅黑"/>
          <w:b w:val="0"/>
          <w:bCs/>
          <w:color w:val="auto"/>
          <w:sz w:val="21"/>
          <w:szCs w:val="21"/>
          <w:highlight w:val="none"/>
          <w:lang w:val="en-US" w:eastAsia="zh-CN"/>
        </w:rPr>
        <w:t>千秋JXYH（2024）第（33）号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480" w:lineRule="exact"/>
        <w:ind w:left="0" w:leftChars="0" w:right="0" w:rightChars="0" w:firstLine="420" w:firstLineChars="200"/>
        <w:textAlignment w:val="auto"/>
        <w:outlineLvl w:val="9"/>
        <w:rPr>
          <w:rFonts w:hint="eastAsia" w:ascii="微软雅黑" w:hAnsi="微软雅黑" w:eastAsia="微软雅黑" w:cs="微软雅黑"/>
          <w:b/>
          <w:color w:val="auto"/>
          <w:sz w:val="21"/>
          <w:szCs w:val="21"/>
          <w:highlight w:val="none"/>
        </w:rPr>
      </w:pPr>
      <w:r>
        <w:rPr>
          <w:rFonts w:hint="eastAsia" w:ascii="微软雅黑" w:hAnsi="微软雅黑" w:eastAsia="微软雅黑" w:cs="微软雅黑"/>
          <w:b/>
          <w:color w:val="auto"/>
          <w:sz w:val="21"/>
          <w:szCs w:val="21"/>
          <w:highlight w:val="none"/>
          <w:lang w:val="en-US" w:eastAsia="zh-CN"/>
        </w:rPr>
        <w:t>二、</w:t>
      </w:r>
      <w:r>
        <w:rPr>
          <w:rFonts w:hint="eastAsia" w:ascii="微软雅黑" w:hAnsi="微软雅黑" w:eastAsia="微软雅黑" w:cs="微软雅黑"/>
          <w:b/>
          <w:color w:val="auto"/>
          <w:sz w:val="21"/>
          <w:szCs w:val="21"/>
          <w:highlight w:val="none"/>
        </w:rPr>
        <w:t>采购方式：</w:t>
      </w:r>
      <w:r>
        <w:rPr>
          <w:rFonts w:hint="eastAsia" w:ascii="微软雅黑" w:hAnsi="微软雅黑" w:eastAsia="微软雅黑" w:cs="微软雅黑"/>
          <w:b w:val="0"/>
          <w:bCs/>
          <w:color w:val="auto"/>
          <w:sz w:val="21"/>
          <w:szCs w:val="21"/>
          <w:highlight w:val="none"/>
        </w:rPr>
        <w:t>公开招标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480" w:lineRule="exact"/>
        <w:ind w:left="0" w:leftChars="0" w:right="0" w:rightChars="0" w:firstLine="420" w:firstLineChars="200"/>
        <w:textAlignment w:val="auto"/>
        <w:outlineLvl w:val="9"/>
        <w:rPr>
          <w:rFonts w:hint="eastAsia" w:ascii="微软雅黑" w:hAnsi="微软雅黑" w:eastAsia="微软雅黑" w:cs="微软雅黑"/>
          <w:b w:val="0"/>
          <w:bCs/>
          <w:color w:val="auto"/>
          <w:sz w:val="21"/>
          <w:szCs w:val="21"/>
          <w:highlight w:val="none"/>
          <w:u w:val="none"/>
          <w:lang w:eastAsia="zh-CN"/>
        </w:rPr>
      </w:pPr>
      <w:r>
        <w:rPr>
          <w:rFonts w:hint="eastAsia" w:ascii="微软雅黑" w:hAnsi="微软雅黑" w:eastAsia="微软雅黑" w:cs="微软雅黑"/>
          <w:b/>
          <w:color w:val="auto"/>
          <w:sz w:val="21"/>
          <w:szCs w:val="21"/>
          <w:highlight w:val="none"/>
        </w:rPr>
        <w:t>三、项目名称：</w:t>
      </w:r>
      <w:r>
        <w:rPr>
          <w:rFonts w:hint="eastAsia" w:ascii="微软雅黑" w:hAnsi="微软雅黑" w:eastAsia="微软雅黑" w:cs="微软雅黑"/>
          <w:b w:val="0"/>
          <w:bCs/>
          <w:color w:val="auto"/>
          <w:sz w:val="21"/>
          <w:szCs w:val="21"/>
          <w:highlight w:val="none"/>
          <w:u w:val="none"/>
          <w:lang w:eastAsia="zh-CN"/>
        </w:rPr>
        <w:t>嘉兴银行2024-2025年度</w:t>
      </w:r>
      <w:r>
        <w:rPr>
          <w:rFonts w:hint="eastAsia" w:ascii="微软雅黑" w:hAnsi="微软雅黑" w:eastAsia="微软雅黑" w:cs="微软雅黑"/>
          <w:b w:val="0"/>
          <w:bCs/>
          <w:color w:val="auto"/>
          <w:sz w:val="21"/>
          <w:szCs w:val="21"/>
          <w:highlight w:val="none"/>
          <w:u w:val="none"/>
          <w:lang w:val="en-US" w:eastAsia="zh-CN"/>
        </w:rPr>
        <w:t>信创</w:t>
      </w:r>
      <w:r>
        <w:rPr>
          <w:rFonts w:hint="eastAsia" w:ascii="微软雅黑" w:hAnsi="微软雅黑" w:eastAsia="微软雅黑" w:cs="微软雅黑"/>
          <w:b w:val="0"/>
          <w:bCs/>
          <w:color w:val="auto"/>
          <w:sz w:val="21"/>
          <w:szCs w:val="21"/>
          <w:highlight w:val="none"/>
          <w:u w:val="none"/>
          <w:lang w:eastAsia="zh-CN"/>
        </w:rPr>
        <w:t>网络设备供应商入围项目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95" w:afterLines="30" w:line="480" w:lineRule="exact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微软雅黑" w:hAnsi="微软雅黑" w:eastAsia="微软雅黑" w:cs="微软雅黑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微软雅黑" w:hAnsi="微软雅黑" w:eastAsia="微软雅黑" w:cs="微软雅黑"/>
          <w:b/>
          <w:color w:val="auto"/>
          <w:sz w:val="21"/>
          <w:szCs w:val="21"/>
          <w:highlight w:val="none"/>
        </w:rPr>
        <w:t>四、招标采购内容：</w:t>
      </w:r>
      <w:r>
        <w:rPr>
          <w:rFonts w:hint="eastAsia" w:ascii="微软雅黑" w:hAnsi="微软雅黑" w:eastAsia="微软雅黑" w:cs="微软雅黑"/>
          <w:b/>
          <w:bCs/>
          <w:color w:val="auto"/>
          <w:sz w:val="21"/>
          <w:szCs w:val="21"/>
          <w:highlight w:val="none"/>
        </w:rPr>
        <w:t xml:space="preserve"> </w:t>
      </w:r>
    </w:p>
    <w:tbl>
      <w:tblPr>
        <w:tblStyle w:val="7"/>
        <w:tblW w:w="836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4F4F4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9"/>
        <w:gridCol w:w="2835"/>
        <w:gridCol w:w="993"/>
        <w:gridCol w:w="992"/>
        <w:gridCol w:w="1559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4F4F4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709" w:type="dxa"/>
            <w:shd w:val="clear" w:color="auto" w:fill="F4F4F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480" w:lineRule="exact"/>
              <w:ind w:left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</w:rPr>
              <w:t>标项</w:t>
            </w:r>
          </w:p>
        </w:tc>
        <w:tc>
          <w:tcPr>
            <w:tcW w:w="2835" w:type="dxa"/>
            <w:shd w:val="clear" w:color="auto" w:fill="F4F4F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480" w:lineRule="exact"/>
              <w:ind w:left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</w:rPr>
              <w:t>项目名称</w:t>
            </w:r>
          </w:p>
        </w:tc>
        <w:tc>
          <w:tcPr>
            <w:tcW w:w="993" w:type="dxa"/>
            <w:shd w:val="clear" w:color="auto" w:fill="F4F4F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480" w:lineRule="exact"/>
              <w:ind w:left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</w:rPr>
              <w:t>单位</w:t>
            </w:r>
          </w:p>
        </w:tc>
        <w:tc>
          <w:tcPr>
            <w:tcW w:w="992" w:type="dxa"/>
            <w:shd w:val="clear" w:color="auto" w:fill="F4F4F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480" w:lineRule="exact"/>
              <w:ind w:left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</w:rPr>
              <w:t>数量</w:t>
            </w:r>
          </w:p>
        </w:tc>
        <w:tc>
          <w:tcPr>
            <w:tcW w:w="1559" w:type="dxa"/>
            <w:shd w:val="clear" w:color="auto" w:fill="F4F4F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after="0" w:line="280" w:lineRule="exact"/>
              <w:ind w:left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  <w:lang w:val="en-US" w:eastAsia="zh-CN"/>
              </w:rPr>
              <w:t>招标控制价</w:t>
            </w:r>
          </w:p>
        </w:tc>
        <w:tc>
          <w:tcPr>
            <w:tcW w:w="1276" w:type="dxa"/>
            <w:shd w:val="clear" w:color="auto" w:fill="F4F4F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480" w:lineRule="exact"/>
              <w:ind w:left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jc w:val="center"/>
        </w:trPr>
        <w:tc>
          <w:tcPr>
            <w:tcW w:w="709" w:type="dxa"/>
            <w:shd w:val="clear" w:color="auto" w:fill="F4F4F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480" w:lineRule="exact"/>
              <w:ind w:left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2835" w:type="dxa"/>
            <w:shd w:val="clear" w:color="auto" w:fill="F4F4F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嘉兴银行2024-2025年度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信创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网络设备供应商入围项目</w:t>
            </w:r>
          </w:p>
        </w:tc>
        <w:tc>
          <w:tcPr>
            <w:tcW w:w="993" w:type="dxa"/>
            <w:shd w:val="clear" w:color="auto" w:fill="F4F4F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480" w:lineRule="exact"/>
              <w:ind w:left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项</w:t>
            </w:r>
          </w:p>
        </w:tc>
        <w:tc>
          <w:tcPr>
            <w:tcW w:w="992" w:type="dxa"/>
            <w:shd w:val="clear" w:color="auto" w:fill="F4F4F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480" w:lineRule="exact"/>
              <w:ind w:left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1559" w:type="dxa"/>
            <w:shd w:val="clear" w:color="auto" w:fill="F4F4F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480" w:lineRule="exact"/>
              <w:ind w:left="0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/</w:t>
            </w:r>
          </w:p>
        </w:tc>
        <w:tc>
          <w:tcPr>
            <w:tcW w:w="1276" w:type="dxa"/>
            <w:shd w:val="clear" w:color="auto" w:fill="F4F4F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480" w:lineRule="exact"/>
              <w:ind w:left="0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after="0" w:line="480" w:lineRule="exact"/>
        <w:ind w:left="0" w:firstLine="420" w:firstLineChars="200"/>
        <w:textAlignment w:val="auto"/>
        <w:rPr>
          <w:rFonts w:hint="eastAsia" w:ascii="微软雅黑" w:hAnsi="微软雅黑" w:eastAsia="微软雅黑" w:cs="微软雅黑"/>
          <w:b/>
          <w:color w:val="auto"/>
          <w:sz w:val="21"/>
          <w:szCs w:val="21"/>
          <w:highlight w:val="none"/>
        </w:rPr>
      </w:pPr>
      <w:r>
        <w:rPr>
          <w:rFonts w:hint="eastAsia" w:ascii="微软雅黑" w:hAnsi="微软雅黑" w:eastAsia="微软雅黑" w:cs="微软雅黑"/>
          <w:b/>
          <w:color w:val="auto"/>
          <w:sz w:val="21"/>
          <w:szCs w:val="21"/>
          <w:highlight w:val="none"/>
        </w:rPr>
        <w:t>五、合格投标人的资格要求: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ind w:left="0" w:leftChars="0" w:firstLine="478" w:firstLineChars="228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</w:rPr>
        <w:t>1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  <w:lang w:eastAsia="zh-CN"/>
        </w:rPr>
        <w:t>、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</w:rPr>
        <w:t>投标人符合《中华人民共和国政府采购法》第二十二条规定的资格条件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ind w:left="0" w:leftChars="0" w:firstLine="478" w:firstLineChars="228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  <w:lang w:val="en-US" w:eastAsia="zh-CN"/>
        </w:rPr>
        <w:t>2、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</w:rPr>
        <w:t>投标人未被“信用中国”（www.creditchina.gov.cn）、中国政府采购网（www.ccgp.gov.cn）列入失信被执行人、重大税收违法案件当事人名单、政府采购严重违法失信行为记录名单；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ind w:left="0" w:leftChars="0" w:firstLine="478" w:firstLineChars="228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  <w:lang w:val="en-US" w:eastAsia="zh-CN"/>
        </w:rPr>
        <w:t>3、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</w:rPr>
        <w:t>本项目不接受联合体投标。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480" w:lineRule="exact"/>
        <w:ind w:left="0" w:firstLine="420" w:firstLineChars="200"/>
        <w:textAlignment w:val="auto"/>
        <w:rPr>
          <w:rFonts w:hint="default" w:ascii="微软雅黑" w:hAnsi="微软雅黑" w:eastAsia="微软雅黑" w:cs="微软雅黑"/>
          <w:b/>
          <w:color w:val="auto"/>
          <w:sz w:val="21"/>
          <w:szCs w:val="21"/>
          <w:highlight w:val="none"/>
          <w:lang w:val="en-US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  <w:lang w:val="en-US" w:eastAsia="zh-CN"/>
        </w:rPr>
        <w:t>4、</w:t>
      </w:r>
      <w:r>
        <w:rPr>
          <w:rFonts w:hint="eastAsia" w:ascii="微软雅黑" w:hAnsi="微软雅黑" w:eastAsia="微软雅黑" w:cs="微软雅黑"/>
          <w:b/>
          <w:bCs/>
          <w:color w:val="auto"/>
          <w:sz w:val="21"/>
          <w:szCs w:val="21"/>
          <w:highlight w:val="none"/>
          <w:lang w:val="en-US" w:eastAsia="zh-CN"/>
        </w:rPr>
        <w:t>提供所投产品各型号设备的入网许可证及所投品牌自</w:t>
      </w:r>
      <w:r>
        <w:rPr>
          <w:rFonts w:hint="default" w:ascii="微软雅黑" w:hAnsi="微软雅黑" w:eastAsia="微软雅黑" w:cs="微软雅黑"/>
          <w:b/>
          <w:bCs/>
          <w:color w:val="auto"/>
          <w:sz w:val="21"/>
          <w:szCs w:val="21"/>
          <w:highlight w:val="none"/>
          <w:lang w:val="en-US" w:eastAsia="zh-CN"/>
        </w:rPr>
        <w:t>202</w:t>
      </w:r>
      <w:r>
        <w:rPr>
          <w:rFonts w:hint="eastAsia" w:ascii="微软雅黑" w:hAnsi="微软雅黑" w:eastAsia="微软雅黑" w:cs="微软雅黑"/>
          <w:b/>
          <w:bCs/>
          <w:color w:val="auto"/>
          <w:sz w:val="21"/>
          <w:szCs w:val="21"/>
          <w:highlight w:val="none"/>
          <w:lang w:val="en-US" w:eastAsia="zh-CN"/>
        </w:rPr>
        <w:t>2</w:t>
      </w:r>
      <w:r>
        <w:rPr>
          <w:rFonts w:hint="default" w:ascii="微软雅黑" w:hAnsi="微软雅黑" w:eastAsia="微软雅黑" w:cs="微软雅黑"/>
          <w:b/>
          <w:bCs/>
          <w:color w:val="auto"/>
          <w:sz w:val="21"/>
          <w:szCs w:val="21"/>
          <w:highlight w:val="none"/>
          <w:lang w:val="en-US" w:eastAsia="zh-CN"/>
        </w:rPr>
        <w:t>年以来具有银行业（除村镇银行外）</w:t>
      </w:r>
      <w:r>
        <w:rPr>
          <w:rFonts w:hint="eastAsia" w:ascii="微软雅黑" w:hAnsi="微软雅黑" w:eastAsia="微软雅黑" w:cs="微软雅黑"/>
          <w:b/>
          <w:bCs/>
          <w:color w:val="auto"/>
          <w:sz w:val="21"/>
          <w:szCs w:val="21"/>
          <w:highlight w:val="none"/>
          <w:lang w:val="en-US" w:eastAsia="zh-CN"/>
        </w:rPr>
        <w:t>信创采购的</w:t>
      </w:r>
      <w:r>
        <w:rPr>
          <w:rFonts w:hint="default" w:ascii="微软雅黑" w:hAnsi="微软雅黑" w:eastAsia="微软雅黑" w:cs="微软雅黑"/>
          <w:b/>
          <w:bCs/>
          <w:color w:val="auto"/>
          <w:sz w:val="21"/>
          <w:szCs w:val="21"/>
          <w:highlight w:val="none"/>
          <w:lang w:val="en-US" w:eastAsia="zh-CN"/>
        </w:rPr>
        <w:t>成功案例</w:t>
      </w:r>
      <w:r>
        <w:rPr>
          <w:rFonts w:hint="eastAsia" w:ascii="微软雅黑" w:hAnsi="微软雅黑" w:eastAsia="微软雅黑" w:cs="微软雅黑"/>
          <w:b/>
          <w:bCs/>
          <w:color w:val="auto"/>
          <w:sz w:val="21"/>
          <w:szCs w:val="21"/>
          <w:highlight w:val="none"/>
          <w:lang w:val="en-US" w:eastAsia="zh-CN"/>
        </w:rPr>
        <w:t>10</w:t>
      </w:r>
      <w:r>
        <w:rPr>
          <w:rFonts w:hint="default" w:ascii="微软雅黑" w:hAnsi="微软雅黑" w:eastAsia="微软雅黑" w:cs="微软雅黑"/>
          <w:b/>
          <w:bCs/>
          <w:color w:val="auto"/>
          <w:sz w:val="21"/>
          <w:szCs w:val="21"/>
          <w:highlight w:val="none"/>
          <w:lang w:val="en-US" w:eastAsia="zh-CN"/>
        </w:rPr>
        <w:t>个（资格后审）</w:t>
      </w:r>
      <w:r>
        <w:rPr>
          <w:rFonts w:hint="eastAsia" w:ascii="微软雅黑" w:hAnsi="微软雅黑" w:eastAsia="微软雅黑" w:cs="微软雅黑"/>
          <w:b/>
          <w:bCs/>
          <w:color w:val="auto"/>
          <w:sz w:val="21"/>
          <w:szCs w:val="21"/>
          <w:highlight w:val="none"/>
          <w:lang w:val="en-US" w:eastAsia="zh-CN"/>
        </w:rPr>
        <w:t>，同一单位的多个案例视为单一案例计算。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480" w:lineRule="exact"/>
        <w:ind w:left="0" w:firstLine="420" w:firstLineChars="200"/>
        <w:textAlignment w:val="auto"/>
        <w:rPr>
          <w:rFonts w:hint="eastAsia" w:ascii="微软雅黑" w:hAnsi="微软雅黑" w:eastAsia="微软雅黑" w:cs="微软雅黑"/>
          <w:b/>
          <w:color w:val="auto"/>
          <w:sz w:val="21"/>
          <w:szCs w:val="21"/>
          <w:highlight w:val="none"/>
        </w:rPr>
      </w:pPr>
      <w:r>
        <w:rPr>
          <w:rFonts w:hint="eastAsia" w:ascii="微软雅黑" w:hAnsi="微软雅黑" w:eastAsia="微软雅黑" w:cs="微软雅黑"/>
          <w:b/>
          <w:color w:val="auto"/>
          <w:sz w:val="21"/>
          <w:szCs w:val="21"/>
          <w:highlight w:val="none"/>
        </w:rPr>
        <w:t>六、</w:t>
      </w:r>
      <w:r>
        <w:rPr>
          <w:rFonts w:hint="eastAsia" w:ascii="微软雅黑" w:hAnsi="微软雅黑" w:eastAsia="微软雅黑" w:cs="微软雅黑"/>
          <w:b/>
          <w:color w:val="auto"/>
          <w:sz w:val="21"/>
          <w:szCs w:val="21"/>
          <w:highlight w:val="none"/>
          <w:lang w:val="en-US" w:eastAsia="zh-CN"/>
        </w:rPr>
        <w:t>报名及</w:t>
      </w:r>
      <w:r>
        <w:rPr>
          <w:rFonts w:hint="eastAsia" w:ascii="微软雅黑" w:hAnsi="微软雅黑" w:eastAsia="微软雅黑" w:cs="微软雅黑"/>
          <w:b/>
          <w:color w:val="auto"/>
          <w:sz w:val="21"/>
          <w:szCs w:val="21"/>
          <w:highlight w:val="none"/>
        </w:rPr>
        <w:t>招标文件的获取：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after="0" w:line="480" w:lineRule="exact"/>
        <w:ind w:left="0" w:firstLine="420" w:firstLineChars="200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auto"/>
          <w:sz w:val="21"/>
          <w:szCs w:val="21"/>
          <w:highlight w:val="none"/>
          <w:lang w:val="en-US" w:eastAsia="zh-CN"/>
        </w:rPr>
        <w:t>1、供应商注册：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</w:rPr>
        <w:t>凡有投标意向的单位，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  <w:lang w:val="en-US" w:eastAsia="zh-CN"/>
        </w:rPr>
        <w:t>请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</w:rPr>
        <w:t>先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  <w:lang w:val="en-US" w:eastAsia="zh-CN"/>
        </w:rPr>
        <w:t>登录嘉兴官网，进入嘉兴银行招采系统完成供应商的注册，并通过审核。审核通过之后成为正式供应商，才具有投标资格。（注册流程见登录界面帮助中心，已注册请忽略）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  <w:lang w:val="en-US" w:eastAsia="zh-CN"/>
        </w:rPr>
        <w:t>招采系统链接：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  <w:u w:val="single"/>
          <w:lang w:val="en-US" w:eastAsia="zh-CN"/>
        </w:rPr>
        <w:t>https://srm.bojx.com/zcxt.jsp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after="0" w:line="480" w:lineRule="exact"/>
        <w:ind w:left="0" w:firstLine="420" w:firstLineChars="200"/>
        <w:jc w:val="left"/>
        <w:textAlignment w:val="auto"/>
        <w:rPr>
          <w:rFonts w:hint="default" w:ascii="微软雅黑" w:hAnsi="微软雅黑" w:eastAsia="微软雅黑" w:cs="微软雅黑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auto"/>
          <w:sz w:val="21"/>
          <w:szCs w:val="21"/>
          <w:highlight w:val="none"/>
          <w:lang w:val="en-US" w:eastAsia="zh-CN"/>
        </w:rPr>
        <w:t>2、投标报名：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highlight w:val="none"/>
          <w:lang w:val="en-US" w:eastAsia="zh-CN"/>
        </w:rPr>
        <w:t>采用网上报名方式，供应商应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highlight w:val="none"/>
        </w:rPr>
        <w:t>于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</w:rPr>
        <w:t>20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  <w:lang w:val="en-US" w:eastAsia="zh-CN"/>
        </w:rPr>
        <w:t>24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</w:rPr>
        <w:t>年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  <w:lang w:val="en-US" w:eastAsia="zh-CN"/>
        </w:rPr>
        <w:t>11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</w:rPr>
        <w:t>月</w:t>
      </w:r>
      <w:r>
        <w:rPr>
          <w:rFonts w:hint="eastAsia" w:ascii="微软雅黑" w:hAnsi="微软雅黑" w:eastAsia="微软雅黑" w:cs="微软雅黑"/>
          <w:b w:val="0"/>
          <w:bCs/>
          <w:color w:val="auto"/>
          <w:sz w:val="21"/>
          <w:szCs w:val="21"/>
          <w:highlight w:val="none"/>
          <w:lang w:val="en-US" w:eastAsia="zh-CN"/>
        </w:rPr>
        <w:t>25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</w:rPr>
        <w:t>日至</w:t>
      </w:r>
      <w:r>
        <w:rPr>
          <w:rFonts w:hint="eastAsia" w:ascii="微软雅黑" w:hAnsi="微软雅黑" w:eastAsia="微软雅黑" w:cs="微软雅黑"/>
          <w:b w:val="0"/>
          <w:bCs/>
          <w:color w:val="auto"/>
          <w:sz w:val="21"/>
          <w:szCs w:val="21"/>
          <w:highlight w:val="none"/>
          <w:lang w:val="en-US" w:eastAsia="zh-CN"/>
        </w:rPr>
        <w:t>12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</w:rPr>
        <w:t>月</w:t>
      </w:r>
      <w:r>
        <w:rPr>
          <w:rFonts w:hint="eastAsia" w:ascii="微软雅黑" w:hAnsi="微软雅黑" w:eastAsia="微软雅黑" w:cs="微软雅黑"/>
          <w:b w:val="0"/>
          <w:bCs/>
          <w:color w:val="auto"/>
          <w:sz w:val="21"/>
          <w:szCs w:val="21"/>
          <w:highlight w:val="none"/>
          <w:lang w:val="en-US" w:eastAsia="zh-CN"/>
        </w:rPr>
        <w:t>16</w:t>
      </w:r>
      <w:bookmarkStart w:id="0" w:name="_GoBack"/>
      <w:bookmarkEnd w:id="0"/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</w:rPr>
        <w:t>日，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  <w:lang w:val="en-US" w:eastAsia="zh-CN"/>
        </w:rPr>
        <w:t>登录嘉兴银行招采系统，进行网上报名，按要求提交报名资料，审核通过后自行下载采购文件。（报名流程见登录界面帮助中心）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after="0" w:line="48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auto"/>
          <w:sz w:val="21"/>
          <w:szCs w:val="21"/>
          <w:highlight w:val="none"/>
          <w:lang w:val="en-US" w:eastAsia="zh-CN"/>
        </w:rPr>
        <w:t>3、</w:t>
      </w:r>
      <w:r>
        <w:rPr>
          <w:rFonts w:hint="eastAsia" w:ascii="微软雅黑" w:hAnsi="微软雅黑" w:eastAsia="微软雅黑" w:cs="微软雅黑"/>
          <w:b/>
          <w:bCs/>
          <w:color w:val="auto"/>
          <w:sz w:val="21"/>
          <w:szCs w:val="21"/>
          <w:highlight w:val="none"/>
        </w:rPr>
        <w:t>购买招标文件</w:t>
      </w:r>
      <w:r>
        <w:rPr>
          <w:rFonts w:hint="eastAsia" w:ascii="微软雅黑" w:hAnsi="微软雅黑" w:eastAsia="微软雅黑" w:cs="微软雅黑"/>
          <w:b/>
          <w:bCs/>
          <w:color w:val="auto"/>
          <w:sz w:val="21"/>
          <w:szCs w:val="21"/>
          <w:highlight w:val="none"/>
          <w:lang w:eastAsia="zh-CN"/>
        </w:rPr>
        <w:t>：</w:t>
      </w:r>
      <w:r>
        <w:rPr>
          <w:rFonts w:hint="eastAsia" w:ascii="微软雅黑" w:hAnsi="微软雅黑" w:eastAsia="微软雅黑" w:cs="微软雅黑"/>
          <w:color w:val="auto"/>
          <w:kern w:val="0"/>
          <w:sz w:val="21"/>
          <w:szCs w:val="21"/>
          <w:highlight w:val="none"/>
        </w:rPr>
        <w:t>报名单位</w:t>
      </w:r>
      <w:r>
        <w:rPr>
          <w:rFonts w:hint="eastAsia" w:ascii="微软雅黑" w:hAnsi="微软雅黑" w:eastAsia="微软雅黑" w:cs="微软雅黑"/>
          <w:color w:val="auto"/>
          <w:kern w:val="0"/>
          <w:sz w:val="21"/>
          <w:szCs w:val="21"/>
          <w:highlight w:val="none"/>
          <w:lang w:val="en-US" w:eastAsia="zh-CN"/>
        </w:rPr>
        <w:t>下载招标文件后，决定参与投标的，再缴纳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</w:rPr>
        <w:t>招标文件服务费</w:t>
      </w:r>
      <w:r>
        <w:rPr>
          <w:rFonts w:hint="eastAsia" w:ascii="微软雅黑" w:hAnsi="微软雅黑" w:eastAsia="微软雅黑" w:cs="微软雅黑"/>
          <w:color w:val="auto"/>
          <w:kern w:val="0"/>
          <w:sz w:val="21"/>
          <w:szCs w:val="21"/>
          <w:highlight w:val="none"/>
          <w:lang w:val="en-US" w:eastAsia="zh-CN"/>
        </w:rPr>
        <w:t>，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  <w:lang w:val="en-US" w:eastAsia="zh-CN"/>
        </w:rPr>
        <w:t>如不参与投标则无需缴费。缴费成功视为正式报名，否则不受理其投标。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after="0" w:line="480" w:lineRule="exact"/>
        <w:ind w:firstLine="420" w:firstLineChars="200"/>
        <w:jc w:val="left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  <w:lang w:val="en-US" w:eastAsia="zh-CN"/>
        </w:rPr>
        <w:t>4、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</w:rPr>
        <w:t>招标文件服务费：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  <w:lang w:val="en-US" w:eastAsia="zh-CN"/>
        </w:rPr>
        <w:t>300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</w:rPr>
        <w:t>元，售后不退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after="0" w:line="480" w:lineRule="exact"/>
        <w:ind w:left="0" w:firstLine="420" w:firstLineChars="200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</w:rPr>
      </w:pPr>
      <w:r>
        <w:rPr>
          <w:rFonts w:hint="eastAsia" w:ascii="微软雅黑" w:hAnsi="微软雅黑" w:eastAsia="微软雅黑" w:cs="微软雅黑"/>
          <w:b/>
          <w:bCs/>
          <w:color w:val="auto"/>
          <w:sz w:val="21"/>
          <w:szCs w:val="21"/>
          <w:highlight w:val="none"/>
        </w:rPr>
        <w:t>七、</w:t>
      </w:r>
      <w:r>
        <w:rPr>
          <w:rFonts w:hint="eastAsia" w:ascii="微软雅黑" w:hAnsi="微软雅黑" w:eastAsia="微软雅黑" w:cs="微软雅黑"/>
          <w:b/>
          <w:bCs/>
          <w:color w:val="auto"/>
          <w:sz w:val="21"/>
          <w:szCs w:val="21"/>
          <w:highlight w:val="none"/>
          <w:lang w:val="en-US" w:eastAsia="zh-CN"/>
        </w:rPr>
        <w:t>在线提交报名资料时，</w:t>
      </w:r>
      <w:r>
        <w:rPr>
          <w:rFonts w:hint="eastAsia" w:ascii="微软雅黑" w:hAnsi="微软雅黑" w:eastAsia="微软雅黑" w:cs="微软雅黑"/>
          <w:b/>
          <w:bCs/>
          <w:color w:val="auto"/>
          <w:sz w:val="21"/>
          <w:szCs w:val="21"/>
          <w:highlight w:val="none"/>
        </w:rPr>
        <w:t>应提供以下</w:t>
      </w:r>
      <w:r>
        <w:rPr>
          <w:rFonts w:hint="eastAsia" w:ascii="微软雅黑" w:hAnsi="微软雅黑" w:eastAsia="微软雅黑" w:cs="微软雅黑"/>
          <w:b/>
          <w:bCs/>
          <w:color w:val="auto"/>
          <w:sz w:val="21"/>
          <w:szCs w:val="21"/>
          <w:highlight w:val="none"/>
          <w:lang w:val="en-US" w:eastAsia="zh-CN"/>
        </w:rPr>
        <w:t>材料</w:t>
      </w:r>
      <w:r>
        <w:rPr>
          <w:rFonts w:hint="eastAsia" w:ascii="微软雅黑" w:hAnsi="微软雅黑" w:eastAsia="微软雅黑" w:cs="微软雅黑"/>
          <w:b/>
          <w:bCs/>
          <w:color w:val="auto"/>
          <w:sz w:val="21"/>
          <w:szCs w:val="21"/>
          <w:highlight w:val="none"/>
        </w:rPr>
        <w:t>（</w:t>
      </w:r>
      <w:r>
        <w:rPr>
          <w:rFonts w:hint="eastAsia" w:ascii="微软雅黑" w:hAnsi="微软雅黑" w:eastAsia="微软雅黑" w:cs="微软雅黑"/>
          <w:b/>
          <w:bCs/>
          <w:color w:val="auto"/>
          <w:sz w:val="21"/>
          <w:szCs w:val="21"/>
          <w:highlight w:val="none"/>
          <w:lang w:val="en-US" w:eastAsia="zh-CN"/>
        </w:rPr>
        <w:t>加盖公章PDF扫描件</w:t>
      </w:r>
      <w:r>
        <w:rPr>
          <w:rFonts w:hint="eastAsia" w:ascii="微软雅黑" w:hAnsi="微软雅黑" w:eastAsia="微软雅黑" w:cs="微软雅黑"/>
          <w:b/>
          <w:bCs/>
          <w:color w:val="auto"/>
          <w:sz w:val="21"/>
          <w:szCs w:val="21"/>
          <w:highlight w:val="none"/>
        </w:rPr>
        <w:t>）：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after="0" w:line="480" w:lineRule="exact"/>
        <w:ind w:left="0" w:firstLine="420" w:firstLineChars="200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</w:rPr>
        <w:t>、报名人身份证复印件（须提供所在单位介绍信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  <w:lang w:val="en-US" w:eastAsia="zh-CN"/>
        </w:rPr>
        <w:t>或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</w:rPr>
        <w:t>授权委托书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  <w:lang w:eastAsia="zh-CN"/>
        </w:rPr>
        <w:t>，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  <w:lang w:val="en-US" w:eastAsia="zh-CN"/>
        </w:rPr>
        <w:t>格式自拟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</w:rPr>
        <w:t>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after="0" w:line="480" w:lineRule="exact"/>
        <w:ind w:left="0" w:firstLine="420" w:firstLineChars="200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</w:rPr>
        <w:t>、营业执照副本复印件；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after="0" w:line="480" w:lineRule="exact"/>
        <w:ind w:left="0" w:firstLine="420" w:firstLineChars="200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  <w:lang w:val="en-US" w:eastAsia="zh-CN"/>
        </w:rPr>
        <w:t>3、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</w:rPr>
        <w:t>“信用中国”（www.creditchina.gov.cn）信用信息报告”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after="0" w:line="480" w:lineRule="exact"/>
        <w:ind w:left="0" w:firstLine="420" w:firstLineChars="200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  <w:lang w:val="en-US" w:eastAsia="zh-CN"/>
        </w:rPr>
        <w:t>4、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</w:rPr>
        <w:t>“中国政府采购网（www.ccgp.gov.cn）政府采购严重违法失信行为记录名单”截图；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after="0" w:line="480" w:lineRule="exact"/>
        <w:ind w:left="0" w:firstLine="420" w:firstLineChars="200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</w:rPr>
      </w:pPr>
      <w:r>
        <w:rPr>
          <w:rFonts w:hint="eastAsia" w:ascii="微软雅黑" w:hAnsi="微软雅黑" w:eastAsia="微软雅黑" w:cs="微软雅黑"/>
          <w:b/>
          <w:bCs/>
          <w:color w:val="auto"/>
          <w:sz w:val="21"/>
          <w:szCs w:val="21"/>
          <w:highlight w:val="none"/>
        </w:rPr>
        <w:t>八、投标保证金：</w:t>
      </w:r>
      <w:r>
        <w:rPr>
          <w:rFonts w:hint="eastAsia" w:ascii="微软雅黑" w:hAnsi="微软雅黑" w:eastAsia="微软雅黑" w:cs="微软雅黑"/>
          <w:bCs/>
          <w:color w:val="auto"/>
          <w:sz w:val="21"/>
          <w:szCs w:val="21"/>
          <w:highlight w:val="none"/>
        </w:rPr>
        <w:t>无。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after="0" w:line="480" w:lineRule="exact"/>
        <w:ind w:left="0" w:firstLine="420" w:firstLineChars="200"/>
        <w:textAlignment w:val="auto"/>
        <w:rPr>
          <w:rFonts w:hint="eastAsia" w:ascii="微软雅黑" w:hAnsi="微软雅黑" w:eastAsia="微软雅黑" w:cs="微软雅黑"/>
          <w:b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微软雅黑" w:hAnsi="微软雅黑" w:eastAsia="微软雅黑" w:cs="微软雅黑"/>
          <w:b/>
          <w:color w:val="auto"/>
          <w:sz w:val="21"/>
          <w:szCs w:val="21"/>
          <w:highlight w:val="none"/>
          <w:lang w:val="en-US" w:eastAsia="zh-CN"/>
        </w:rPr>
        <w:t>九</w:t>
      </w:r>
      <w:r>
        <w:rPr>
          <w:rFonts w:hint="eastAsia" w:ascii="微软雅黑" w:hAnsi="微软雅黑" w:eastAsia="微软雅黑" w:cs="微软雅黑"/>
          <w:b/>
          <w:color w:val="auto"/>
          <w:sz w:val="21"/>
          <w:szCs w:val="21"/>
          <w:highlight w:val="none"/>
        </w:rPr>
        <w:t>、 投标文件的递交</w:t>
      </w:r>
      <w:r>
        <w:rPr>
          <w:rFonts w:hint="eastAsia" w:ascii="微软雅黑" w:hAnsi="微软雅黑" w:eastAsia="微软雅黑" w:cs="微软雅黑"/>
          <w:b/>
          <w:color w:val="auto"/>
          <w:sz w:val="21"/>
          <w:szCs w:val="21"/>
          <w:highlight w:val="none"/>
          <w:lang w:eastAsia="zh-CN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after="0" w:line="480" w:lineRule="exact"/>
        <w:ind w:left="0" w:firstLine="420" w:firstLineChars="200"/>
        <w:textAlignment w:val="auto"/>
        <w:rPr>
          <w:rFonts w:hint="default" w:ascii="微软雅黑" w:hAnsi="微软雅黑" w:eastAsia="微软雅黑" w:cs="微软雅黑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b/>
          <w:color w:val="auto"/>
          <w:sz w:val="21"/>
          <w:szCs w:val="21"/>
          <w:highlight w:val="none"/>
        </w:rPr>
        <w:t>投标文件的递交</w:t>
      </w:r>
      <w:r>
        <w:rPr>
          <w:rFonts w:hint="eastAsia" w:ascii="微软雅黑" w:hAnsi="微软雅黑" w:eastAsia="微软雅黑" w:cs="微软雅黑"/>
          <w:b/>
          <w:color w:val="auto"/>
          <w:sz w:val="21"/>
          <w:szCs w:val="21"/>
          <w:highlight w:val="none"/>
          <w:lang w:val="en-US" w:eastAsia="zh-CN"/>
        </w:rPr>
        <w:t>采取线上和线下并行模式：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after="0" w:line="480" w:lineRule="exact"/>
        <w:ind w:left="0" w:firstLine="420" w:firstLineChars="200"/>
        <w:textAlignment w:val="auto"/>
        <w:rPr>
          <w:rFonts w:hint="default" w:ascii="微软雅黑" w:hAnsi="微软雅黑" w:eastAsia="微软雅黑" w:cs="微软雅黑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  <w:lang w:val="en-US" w:eastAsia="zh-CN"/>
        </w:rPr>
        <w:t>报名成功后，供应商须同时提交电子版和纸质版投标文件，电子投标文件为纸质投标文件PDF扫描版：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before="0" w:after="0" w:line="480" w:lineRule="exact"/>
        <w:ind w:left="0" w:firstLine="420" w:firstLineChars="200"/>
        <w:textAlignment w:val="auto"/>
        <w:rPr>
          <w:rFonts w:hint="default" w:ascii="微软雅黑" w:hAnsi="微软雅黑" w:eastAsia="微软雅黑" w:cs="微软雅黑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  <w:lang w:val="en-US" w:eastAsia="zh-CN"/>
        </w:rPr>
        <w:t>电子投标文件：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</w:rPr>
        <w:t>投标人应于20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  <w:lang w:val="en-US" w:eastAsia="zh-CN"/>
        </w:rPr>
        <w:t>24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</w:rPr>
        <w:t>年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  <w:lang w:val="en-US" w:eastAsia="zh-CN"/>
        </w:rPr>
        <w:t>12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</w:rPr>
        <w:t>月</w:t>
      </w:r>
      <w:r>
        <w:rPr>
          <w:rFonts w:hint="eastAsia" w:ascii="微软雅黑" w:hAnsi="微软雅黑" w:eastAsia="微软雅黑" w:cs="微软雅黑"/>
          <w:b w:val="0"/>
          <w:bCs/>
          <w:color w:val="auto"/>
          <w:sz w:val="21"/>
          <w:szCs w:val="21"/>
          <w:highlight w:val="none"/>
          <w:lang w:val="en-US" w:eastAsia="zh-CN"/>
        </w:rPr>
        <w:t>16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</w:rPr>
        <w:t>日</w:t>
      </w:r>
      <w:r>
        <w:rPr>
          <w:rFonts w:hint="eastAsia" w:ascii="微软雅黑" w:hAnsi="微软雅黑" w:eastAsia="微软雅黑" w:cs="微软雅黑"/>
          <w:b w:val="0"/>
          <w:bCs/>
          <w:color w:val="auto"/>
          <w:sz w:val="21"/>
          <w:szCs w:val="21"/>
          <w:highlight w:val="none"/>
          <w:lang w:val="en-US" w:eastAsia="zh-CN"/>
        </w:rPr>
        <w:t>09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</w:rPr>
        <w:t>时</w:t>
      </w:r>
      <w:r>
        <w:rPr>
          <w:rFonts w:hint="eastAsia" w:ascii="微软雅黑" w:hAnsi="微软雅黑" w:eastAsia="微软雅黑" w:cs="微软雅黑"/>
          <w:b w:val="0"/>
          <w:bCs/>
          <w:color w:val="auto"/>
          <w:sz w:val="21"/>
          <w:szCs w:val="21"/>
          <w:highlight w:val="none"/>
          <w:lang w:val="en-US" w:eastAsia="zh-CN"/>
        </w:rPr>
        <w:t>00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</w:rPr>
        <w:t>分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  <w:lang w:val="en-US" w:eastAsia="zh-CN"/>
        </w:rPr>
        <w:t>前将加密电子投标文件上传至嘉兴银行招采系统（上传及投标教程详见登录界面帮助中心）。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after="0" w:line="480" w:lineRule="exact"/>
        <w:ind w:left="0" w:firstLine="420" w:firstLineChars="200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  <w:lang w:val="en-US" w:eastAsia="zh-CN"/>
        </w:rPr>
        <w:t>2、纸质投标文件：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</w:rPr>
        <w:t>投标人应于20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  <w:lang w:val="en-US" w:eastAsia="zh-CN"/>
        </w:rPr>
        <w:t>24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</w:rPr>
        <w:t>年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  <w:lang w:val="en-US" w:eastAsia="zh-CN"/>
        </w:rPr>
        <w:t>12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</w:rPr>
        <w:t>月</w:t>
      </w:r>
      <w:r>
        <w:rPr>
          <w:rFonts w:hint="eastAsia" w:ascii="微软雅黑" w:hAnsi="微软雅黑" w:eastAsia="微软雅黑" w:cs="微软雅黑"/>
          <w:b w:val="0"/>
          <w:bCs/>
          <w:color w:val="auto"/>
          <w:sz w:val="21"/>
          <w:szCs w:val="21"/>
          <w:highlight w:val="none"/>
          <w:lang w:val="en-US" w:eastAsia="zh-CN"/>
        </w:rPr>
        <w:t>16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</w:rPr>
        <w:t>日</w:t>
      </w:r>
      <w:r>
        <w:rPr>
          <w:rFonts w:hint="eastAsia" w:ascii="微软雅黑" w:hAnsi="微软雅黑" w:eastAsia="微软雅黑" w:cs="微软雅黑"/>
          <w:b w:val="0"/>
          <w:bCs/>
          <w:color w:val="auto"/>
          <w:sz w:val="21"/>
          <w:szCs w:val="21"/>
          <w:highlight w:val="none"/>
          <w:lang w:val="en-US" w:eastAsia="zh-CN"/>
        </w:rPr>
        <w:t>09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</w:rPr>
        <w:t>时</w:t>
      </w:r>
      <w:r>
        <w:rPr>
          <w:rFonts w:hint="eastAsia" w:ascii="微软雅黑" w:hAnsi="微软雅黑" w:eastAsia="微软雅黑" w:cs="微软雅黑"/>
          <w:b w:val="0"/>
          <w:bCs/>
          <w:color w:val="auto"/>
          <w:sz w:val="21"/>
          <w:szCs w:val="21"/>
          <w:highlight w:val="none"/>
          <w:lang w:val="en-US" w:eastAsia="zh-CN"/>
        </w:rPr>
        <w:t>00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</w:rPr>
        <w:t>分前将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  <w:lang w:val="en-US" w:eastAsia="zh-CN"/>
        </w:rPr>
        <w:t>纸质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</w:rPr>
        <w:t>投标文件密封送交到</w:t>
      </w:r>
      <w:r>
        <w:rPr>
          <w:rFonts w:hint="eastAsia" w:ascii="微软雅黑" w:hAnsi="微软雅黑" w:eastAsia="微软雅黑" w:cs="微软雅黑"/>
          <w:b/>
          <w:bCs/>
          <w:color w:val="auto"/>
          <w:sz w:val="21"/>
          <w:szCs w:val="21"/>
          <w:highlight w:val="none"/>
        </w:rPr>
        <w:t>嘉兴银行总行大楼216室（嘉兴市昌盛南路1001号）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</w:rPr>
        <w:t>，逾期送达或未密封将予以拒收。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b/>
          <w:color w:val="auto"/>
          <w:sz w:val="21"/>
          <w:szCs w:val="21"/>
          <w:highlight w:val="none"/>
        </w:rPr>
      </w:pPr>
      <w:r>
        <w:rPr>
          <w:rFonts w:hint="eastAsia" w:ascii="微软雅黑" w:hAnsi="微软雅黑" w:eastAsia="微软雅黑" w:cs="微软雅黑"/>
          <w:b/>
          <w:color w:val="auto"/>
          <w:sz w:val="21"/>
          <w:szCs w:val="21"/>
          <w:highlight w:val="none"/>
          <w:lang w:val="en-US" w:eastAsia="zh-CN"/>
        </w:rPr>
        <w:t>十</w:t>
      </w:r>
      <w:r>
        <w:rPr>
          <w:rFonts w:hint="eastAsia" w:ascii="微软雅黑" w:hAnsi="微软雅黑" w:eastAsia="微软雅黑" w:cs="微软雅黑"/>
          <w:b/>
          <w:color w:val="auto"/>
          <w:sz w:val="21"/>
          <w:szCs w:val="21"/>
          <w:highlight w:val="none"/>
        </w:rPr>
        <w:t>、开标时间及地点：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</w:rPr>
        <w:t>本次招标将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  <w:lang w:val="en-US" w:eastAsia="zh-CN"/>
        </w:rPr>
        <w:t>于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</w:rPr>
        <w:t>20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  <w:lang w:val="en-US" w:eastAsia="zh-CN"/>
        </w:rPr>
        <w:t>24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</w:rPr>
        <w:t>年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  <w:lang w:val="en-US" w:eastAsia="zh-CN"/>
        </w:rPr>
        <w:t>12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</w:rPr>
        <w:t>月</w:t>
      </w:r>
      <w:r>
        <w:rPr>
          <w:rFonts w:hint="eastAsia" w:ascii="微软雅黑" w:hAnsi="微软雅黑" w:eastAsia="微软雅黑" w:cs="微软雅黑"/>
          <w:b w:val="0"/>
          <w:bCs/>
          <w:color w:val="auto"/>
          <w:sz w:val="21"/>
          <w:szCs w:val="21"/>
          <w:highlight w:val="none"/>
          <w:lang w:val="en-US" w:eastAsia="zh-CN"/>
        </w:rPr>
        <w:t>16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</w:rPr>
        <w:t>日</w:t>
      </w:r>
      <w:r>
        <w:rPr>
          <w:rFonts w:hint="eastAsia" w:ascii="微软雅黑" w:hAnsi="微软雅黑" w:eastAsia="微软雅黑" w:cs="微软雅黑"/>
          <w:b w:val="0"/>
          <w:bCs/>
          <w:color w:val="auto"/>
          <w:sz w:val="21"/>
          <w:szCs w:val="21"/>
          <w:highlight w:val="none"/>
          <w:lang w:val="en-US" w:eastAsia="zh-CN"/>
        </w:rPr>
        <w:t>09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</w:rPr>
        <w:t>时</w:t>
      </w:r>
      <w:r>
        <w:rPr>
          <w:rFonts w:hint="eastAsia" w:ascii="微软雅黑" w:hAnsi="微软雅黑" w:eastAsia="微软雅黑" w:cs="微软雅黑"/>
          <w:b w:val="0"/>
          <w:bCs/>
          <w:color w:val="auto"/>
          <w:sz w:val="21"/>
          <w:szCs w:val="21"/>
          <w:highlight w:val="none"/>
          <w:lang w:val="en-US" w:eastAsia="zh-CN"/>
        </w:rPr>
        <w:t>00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</w:rPr>
        <w:t>分在</w:t>
      </w:r>
      <w:r>
        <w:rPr>
          <w:rFonts w:hint="eastAsia" w:ascii="微软雅黑" w:hAnsi="微软雅黑" w:eastAsia="微软雅黑" w:cs="微软雅黑"/>
          <w:b/>
          <w:bCs/>
          <w:color w:val="auto"/>
          <w:sz w:val="21"/>
          <w:szCs w:val="21"/>
          <w:highlight w:val="none"/>
        </w:rPr>
        <w:t>嘉兴银行总行大楼217室（嘉兴市昌盛南路1001号）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</w:rPr>
        <w:t>开标，授权代表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  <w:lang w:val="en-US" w:eastAsia="zh-CN"/>
        </w:rPr>
        <w:t>须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</w:rPr>
        <w:t>持有效身份证明出席开标会议。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after="0" w:line="480" w:lineRule="exact"/>
        <w:ind w:left="0" w:firstLine="420" w:firstLineChars="200"/>
        <w:textAlignment w:val="auto"/>
        <w:rPr>
          <w:rFonts w:hint="eastAsia" w:ascii="微软雅黑" w:hAnsi="微软雅黑" w:eastAsia="微软雅黑" w:cs="微软雅黑"/>
          <w:b/>
          <w:color w:val="auto"/>
          <w:sz w:val="21"/>
          <w:szCs w:val="21"/>
          <w:highlight w:val="none"/>
        </w:rPr>
      </w:pPr>
      <w:r>
        <w:rPr>
          <w:rFonts w:hint="eastAsia" w:ascii="微软雅黑" w:hAnsi="微软雅黑" w:eastAsia="微软雅黑" w:cs="微软雅黑"/>
          <w:b/>
          <w:color w:val="auto"/>
          <w:sz w:val="21"/>
          <w:szCs w:val="21"/>
          <w:highlight w:val="none"/>
        </w:rPr>
        <w:t>十</w:t>
      </w:r>
      <w:r>
        <w:rPr>
          <w:rFonts w:hint="eastAsia" w:ascii="微软雅黑" w:hAnsi="微软雅黑" w:eastAsia="微软雅黑" w:cs="微软雅黑"/>
          <w:b/>
          <w:color w:val="auto"/>
          <w:sz w:val="21"/>
          <w:szCs w:val="21"/>
          <w:highlight w:val="none"/>
          <w:lang w:val="en-US" w:eastAsia="zh-CN"/>
        </w:rPr>
        <w:t>一</w:t>
      </w:r>
      <w:r>
        <w:rPr>
          <w:rFonts w:hint="eastAsia" w:ascii="微软雅黑" w:hAnsi="微软雅黑" w:eastAsia="微软雅黑" w:cs="微软雅黑"/>
          <w:b/>
          <w:color w:val="auto"/>
          <w:sz w:val="21"/>
          <w:szCs w:val="21"/>
          <w:highlight w:val="none"/>
        </w:rPr>
        <w:t>、招标公告</w:t>
      </w:r>
      <w:r>
        <w:rPr>
          <w:rFonts w:hint="eastAsia" w:ascii="微软雅黑" w:hAnsi="微软雅黑" w:eastAsia="微软雅黑" w:cs="微软雅黑"/>
          <w:b/>
          <w:color w:val="auto"/>
          <w:sz w:val="21"/>
          <w:szCs w:val="21"/>
          <w:highlight w:val="none"/>
          <w:lang w:val="en-US" w:eastAsia="zh-CN"/>
        </w:rPr>
        <w:t>/更正公告</w:t>
      </w:r>
      <w:r>
        <w:rPr>
          <w:rFonts w:hint="eastAsia" w:ascii="微软雅黑" w:hAnsi="微软雅黑" w:eastAsia="微软雅黑" w:cs="微软雅黑"/>
          <w:b/>
          <w:color w:val="auto"/>
          <w:sz w:val="21"/>
          <w:szCs w:val="21"/>
          <w:highlight w:val="none"/>
        </w:rPr>
        <w:t>发布于：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ind w:left="0" w:firstLine="228" w:firstLineChars="109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</w:rPr>
        <w:t>嘉兴银行官网：http://www.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  <w:lang w:val="en-US" w:eastAsia="zh-CN"/>
        </w:rPr>
        <w:t>bojx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</w:rPr>
        <w:t xml:space="preserve">.com/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ind w:left="0" w:firstLine="228" w:firstLineChars="109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</w:rPr>
        <w:t>浙江政府采购网：https://zfcg.czt.zj.gov.cn/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ind w:left="0" w:firstLine="228" w:firstLineChars="109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  <w:lang w:val="en-US" w:eastAsia="zh-CN"/>
        </w:rPr>
        <w:t xml:space="preserve">  金采网：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</w:rPr>
        <w:t xml:space="preserve">http://www.cfcpn.com/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after="0" w:line="480" w:lineRule="exact"/>
        <w:ind w:left="0" w:firstLine="420" w:firstLineChars="200"/>
        <w:textAlignment w:val="auto"/>
        <w:rPr>
          <w:rFonts w:hint="eastAsia" w:ascii="微软雅黑" w:hAnsi="微软雅黑" w:eastAsia="微软雅黑" w:cs="微软雅黑"/>
          <w:b/>
          <w:color w:val="auto"/>
          <w:sz w:val="21"/>
          <w:szCs w:val="21"/>
          <w:highlight w:val="none"/>
        </w:rPr>
      </w:pPr>
      <w:r>
        <w:rPr>
          <w:rFonts w:hint="eastAsia" w:ascii="微软雅黑" w:hAnsi="微软雅黑" w:eastAsia="微软雅黑" w:cs="微软雅黑"/>
          <w:b/>
          <w:bCs/>
          <w:color w:val="auto"/>
          <w:sz w:val="21"/>
          <w:szCs w:val="21"/>
          <w:highlight w:val="none"/>
        </w:rPr>
        <w:t>十</w:t>
      </w:r>
      <w:r>
        <w:rPr>
          <w:rFonts w:hint="eastAsia" w:ascii="微软雅黑" w:hAnsi="微软雅黑" w:eastAsia="微软雅黑" w:cs="微软雅黑"/>
          <w:b/>
          <w:bCs/>
          <w:color w:val="auto"/>
          <w:sz w:val="21"/>
          <w:szCs w:val="21"/>
          <w:highlight w:val="none"/>
          <w:lang w:val="en-US" w:eastAsia="zh-CN"/>
        </w:rPr>
        <w:t>二</w:t>
      </w:r>
      <w:r>
        <w:rPr>
          <w:rFonts w:hint="eastAsia" w:ascii="微软雅黑" w:hAnsi="微软雅黑" w:eastAsia="微软雅黑" w:cs="微软雅黑"/>
          <w:b/>
          <w:bCs/>
          <w:color w:val="auto"/>
          <w:sz w:val="21"/>
          <w:szCs w:val="21"/>
          <w:highlight w:val="none"/>
        </w:rPr>
        <w:t>、业务咨询：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ind w:left="0" w:leftChars="0" w:firstLine="420" w:firstLineChars="200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</w:rPr>
        <w:t>采购单位：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  <w:lang w:eastAsia="zh-CN"/>
        </w:rPr>
        <w:t>嘉兴银行股份有限公司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ind w:left="0" w:leftChars="0" w:firstLine="420" w:firstLineChars="200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</w:rPr>
        <w:t>联系人：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  <w:lang w:val="en-US" w:eastAsia="zh-CN"/>
        </w:rPr>
        <w:t>朱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</w:rPr>
        <w:t>先生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ind w:left="0" w:leftChars="0" w:firstLine="420" w:firstLineChars="200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</w:rPr>
        <w:t>电话：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  <w:lang w:val="en-US" w:eastAsia="zh-CN"/>
        </w:rPr>
        <w:t>0573-82080177，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</w:rPr>
        <w:t>1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  <w:lang w:val="en-US" w:eastAsia="zh-CN"/>
        </w:rPr>
        <w:t>3957391107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ind w:left="0" w:leftChars="0" w:firstLine="420" w:firstLineChars="200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</w:rPr>
        <w:t>代理机构：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  <w:lang w:val="en-US" w:eastAsia="zh-CN"/>
        </w:rPr>
        <w:t>嘉兴市千秋工程咨询有限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  <w:lang w:eastAsia="zh-CN"/>
        </w:rPr>
        <w:t>公司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</w:rPr>
        <w:t>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ind w:left="0" w:leftChars="0" w:firstLine="420" w:firstLineChars="200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</w:rPr>
        <w:t>联系人：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  <w:lang w:val="en-US" w:eastAsia="zh-CN"/>
        </w:rPr>
        <w:t>陈女士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ind w:left="0" w:leftChars="0" w:firstLine="420" w:firstLineChars="200"/>
        <w:textAlignment w:val="auto"/>
        <w:rPr>
          <w:rFonts w:hint="default" w:ascii="微软雅黑" w:hAnsi="微软雅黑" w:eastAsia="微软雅黑" w:cs="微软雅黑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</w:rPr>
        <w:t>联系电话：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  <w:lang w:val="en-US" w:eastAsia="zh-CN"/>
        </w:rPr>
        <w:t>15857356518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ind w:left="0" w:leftChars="0" w:firstLine="420" w:firstLineChars="200"/>
        <w:textAlignment w:val="auto"/>
        <w:rPr>
          <w:rFonts w:hint="eastAsia" w:ascii="微软雅黑" w:hAnsi="微软雅黑" w:eastAsia="微软雅黑" w:cs="微软雅黑"/>
          <w:color w:val="auto"/>
          <w:szCs w:val="21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auto"/>
          <w:sz w:val="21"/>
          <w:szCs w:val="21"/>
          <w:highlight w:val="none"/>
          <w:lang w:val="en-US" w:eastAsia="zh-CN"/>
        </w:rPr>
        <w:t>十三、</w:t>
      </w:r>
      <w:r>
        <w:rPr>
          <w:rFonts w:hint="eastAsia" w:ascii="微软雅黑" w:hAnsi="微软雅黑" w:eastAsia="微软雅黑" w:cs="微软雅黑"/>
          <w:b/>
          <w:bCs/>
          <w:color w:val="auto"/>
          <w:sz w:val="21"/>
          <w:szCs w:val="21"/>
          <w:highlight w:val="none"/>
        </w:rPr>
        <w:t>合规：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</w:rPr>
        <w:t>嘉兴银行法律合规部王先生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  <w:lang w:eastAsia="zh-CN"/>
        </w:rPr>
        <w:t>，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</w:rPr>
        <w:t>电话：0573-8208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  <w:lang w:val="en-US" w:eastAsia="zh-CN"/>
        </w:rPr>
        <w:t>0071。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ind w:left="0" w:leftChars="0" w:firstLine="420" w:firstLineChars="200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auto"/>
          <w:sz w:val="21"/>
          <w:szCs w:val="21"/>
          <w:highlight w:val="none"/>
          <w:lang w:val="en-US" w:eastAsia="zh-CN"/>
        </w:rPr>
        <w:t>十四、招采系统咨询：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highlight w:val="none"/>
          <w:lang w:val="en-US" w:eastAsia="zh-CN"/>
        </w:rPr>
        <w:t>供应商在系统注册、报名、投标时，如遇招采系统相关问题，请联系技术联系人杨先生，电话13858054390。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ind w:left="0" w:leftChars="0" w:firstLine="420" w:firstLineChars="200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after="0" w:line="480" w:lineRule="exact"/>
        <w:ind w:firstLine="420" w:firstLineChars="200"/>
        <w:jc w:val="right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</w:rPr>
        <w:t>  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  <w:lang w:eastAsia="zh-CN"/>
        </w:rPr>
        <w:t>嘉兴银行股份有限公司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</w:rPr>
        <w:br w:type="textWrapping"/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</w:rPr>
        <w:t xml:space="preserve">                                嘉兴市千秋工程咨询有限公司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after="0" w:line="480" w:lineRule="exact"/>
        <w:ind w:firstLine="420" w:firstLineChars="200"/>
        <w:jc w:val="right"/>
        <w:textAlignment w:val="auto"/>
        <w:rPr>
          <w:rFonts w:ascii="微软雅黑" w:hAnsi="微软雅黑" w:eastAsia="微软雅黑" w:cs="微软雅黑"/>
          <w:color w:val="auto"/>
          <w:sz w:val="21"/>
          <w:szCs w:val="21"/>
          <w:highlight w:val="none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</w:rPr>
        <w:t>20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  <w:lang w:val="en-US" w:eastAsia="zh-CN"/>
        </w:rPr>
        <w:t>24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</w:rPr>
        <w:t>年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  <w:lang w:val="en-US" w:eastAsia="zh-CN"/>
        </w:rPr>
        <w:t>11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</w:rPr>
        <w:t>月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  <w:lang w:val="en-US" w:eastAsia="zh-CN"/>
        </w:rPr>
        <w:t>25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57" w:afterLines="50" w:line="480" w:lineRule="exact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57" w:afterLines="50" w:line="48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  <w:lang w:val="en-US" w:eastAsia="zh-CN"/>
        </w:rPr>
        <w:t>附件：缴费方式</w:t>
      </w:r>
    </w:p>
    <w:tbl>
      <w:tblPr>
        <w:tblStyle w:val="8"/>
        <w:tblW w:w="7970" w:type="dxa"/>
        <w:jc w:val="center"/>
        <w:tblInd w:w="86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1"/>
        <w:gridCol w:w="3861"/>
        <w:gridCol w:w="31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7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48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缴费方式（任选一种）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2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48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  <w:lang w:val="en-US" w:eastAsia="zh-CN"/>
              </w:rPr>
              <w:t>对公账户转账</w:t>
            </w:r>
          </w:p>
        </w:tc>
        <w:tc>
          <w:tcPr>
            <w:tcW w:w="31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48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  <w:lang w:val="en-US" w:eastAsia="zh-CN"/>
              </w:rPr>
              <w:t>收款码（支付宝）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480" w:lineRule="exact"/>
              <w:jc w:val="left"/>
              <w:textAlignment w:val="auto"/>
              <w:rPr>
                <w:rFonts w:hint="default" w:ascii="微软雅黑" w:hAnsi="微软雅黑" w:eastAsia="微软雅黑" w:cs="微软雅黑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名称：</w:t>
            </w:r>
          </w:p>
        </w:tc>
        <w:tc>
          <w:tcPr>
            <w:tcW w:w="38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480" w:lineRule="exact"/>
              <w:jc w:val="left"/>
              <w:textAlignment w:val="auto"/>
              <w:rPr>
                <w:rFonts w:hint="default" w:ascii="微软雅黑" w:hAnsi="微软雅黑" w:eastAsia="微软雅黑" w:cs="微软雅黑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嘉兴市千秋工程咨询有限公司</w:t>
            </w:r>
          </w:p>
        </w:tc>
        <w:tc>
          <w:tcPr>
            <w:tcW w:w="3148" w:type="dxa"/>
            <w:vMerge w:val="restar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drawing>
                <wp:inline distT="0" distB="0" distL="114300" distR="114300">
                  <wp:extent cx="990600" cy="943610"/>
                  <wp:effectExtent l="0" t="0" r="0" b="8890"/>
                  <wp:docPr id="1" name="图片 1" descr="图片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图片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0" cy="943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48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  <w:lang w:val="en-US" w:eastAsia="zh-CN"/>
              </w:rPr>
              <w:t>账号：</w:t>
            </w:r>
          </w:p>
        </w:tc>
        <w:tc>
          <w:tcPr>
            <w:tcW w:w="38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48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334601000018170160050</w:t>
            </w:r>
          </w:p>
        </w:tc>
        <w:tc>
          <w:tcPr>
            <w:tcW w:w="314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48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48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  <w:lang w:val="en-US" w:eastAsia="zh-CN"/>
              </w:rPr>
              <w:t>开户行：</w:t>
            </w:r>
          </w:p>
        </w:tc>
        <w:tc>
          <w:tcPr>
            <w:tcW w:w="38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48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交通银行嘉兴分行</w:t>
            </w:r>
          </w:p>
        </w:tc>
        <w:tc>
          <w:tcPr>
            <w:tcW w:w="314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48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  <w:jc w:val="center"/>
        </w:trPr>
        <w:tc>
          <w:tcPr>
            <w:tcW w:w="797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备注：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  <w:lang w:val="en-US" w:eastAsia="zh-CN"/>
              </w:rPr>
              <w:t>1. 如参与投标，请将招标文件服务费（300元）支付至上述账户；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  <w:lang w:val="en-US" w:eastAsia="zh-CN"/>
              </w:rPr>
              <w:t>2. 请在附言备注企业名称、项目编号（千秋JXYH（2024）第（33）号），付款凭证发送至邮箱1450912653@qq.com，以便代理机构查验；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Chars="0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  <w:lang w:val="en-US" w:eastAsia="zh-CN"/>
              </w:rPr>
              <w:t>3. 报名以及开票事宜请联系代理公司联系人：陈女士，15857356518。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after="0" w:line="480" w:lineRule="exact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  <w:lang w:val="en-US" w:eastAsia="zh-CN"/>
        </w:rPr>
      </w:pPr>
    </w:p>
    <w:p>
      <w:pPr>
        <w:bidi w:val="0"/>
        <w:jc w:val="left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C019E3"/>
    <w:multiLevelType w:val="singleLevel"/>
    <w:tmpl w:val="6BC019E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5C3AA3"/>
    <w:rsid w:val="2A1442B8"/>
    <w:rsid w:val="465C3AA3"/>
    <w:rsid w:val="63B85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jc w:val="center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/>
    </w:pPr>
    <w:rPr>
      <w:szCs w:val="20"/>
    </w:rPr>
  </w:style>
  <w:style w:type="paragraph" w:styleId="4">
    <w:name w:val="Body Text"/>
    <w:basedOn w:val="1"/>
    <w:next w:val="5"/>
    <w:qFormat/>
    <w:uiPriority w:val="0"/>
  </w:style>
  <w:style w:type="paragraph" w:styleId="5">
    <w:name w:val="Date"/>
    <w:basedOn w:val="1"/>
    <w:next w:val="1"/>
    <w:qFormat/>
    <w:uiPriority w:val="0"/>
    <w:pPr>
      <w:ind w:left="2500" w:leftChars="2500"/>
    </w:pPr>
    <w:rPr>
      <w:rFonts w:eastAsia="楷体_GB2312"/>
      <w:sz w:val="32"/>
      <w:szCs w:val="20"/>
    </w:rPr>
  </w:style>
  <w:style w:type="paragraph" w:styleId="6">
    <w:name w:val="Plain Text"/>
    <w:basedOn w:val="1"/>
    <w:next w:val="3"/>
    <w:qFormat/>
    <w:uiPriority w:val="0"/>
    <w:rPr>
      <w:rFonts w:ascii="宋体" w:hAnsi="Courier New"/>
      <w:szCs w:val="20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Office_11.8.2.8721_F1E327BC-269C-435d-A152-05C5408002CA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2024-10-30T09:46:00Z</dcterms:created>
  <dc:creator>admin</dc:creator>
  <cp:lastModifiedBy>admin</cp:lastModifiedBy>
  <dcterms:modified xsi:type="dcterms:W3CDTF">2024-11-25T02:46:05Z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2052-11.8.2.8721</vt:lpwstr>
  </property>
</Properties>
</file>