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293" w:lineRule="auto"/>
        <w:ind w:right="250"/>
        <w:jc w:val="center"/>
        <w:outlineLvl w:val="0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eastAsia="宋体" w:cs="Times New Roman"/>
          <w:sz w:val="30"/>
          <w:szCs w:val="30"/>
          <w:lang w:val="en-US" w:eastAsia="zh-CN"/>
        </w:rPr>
        <w:t>嘉兴银行下辖歙县嘉银、浦江嘉银两家村镇银行业务系统数据迁移项目</w:t>
      </w:r>
      <w:r>
        <w:rPr>
          <w:rFonts w:ascii="宋体" w:hAnsi="宋体" w:eastAsia="宋体" w:cs="宋体"/>
          <w:spacing w:val="-1"/>
          <w:sz w:val="30"/>
          <w:szCs w:val="30"/>
        </w:rPr>
        <w:t>流标公</w:t>
      </w:r>
      <w:r>
        <w:rPr>
          <w:rFonts w:ascii="宋体" w:hAnsi="宋体" w:eastAsia="宋体" w:cs="宋体"/>
          <w:sz w:val="30"/>
          <w:szCs w:val="30"/>
        </w:rPr>
        <w:t>告</w:t>
      </w:r>
    </w:p>
    <w:bookmarkEnd w:id="0"/>
    <w:p>
      <w:pPr>
        <w:spacing w:before="108"/>
      </w:pPr>
    </w:p>
    <w:p>
      <w:pPr>
        <w:spacing w:before="108"/>
      </w:pPr>
    </w:p>
    <w:tbl>
      <w:tblPr>
        <w:tblStyle w:val="7"/>
        <w:tblW w:w="7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3156"/>
        <w:gridCol w:w="1348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304" w:line="219" w:lineRule="auto"/>
              <w:ind w:left="324"/>
            </w:pPr>
            <w:r>
              <w:rPr>
                <w:spacing w:val="3"/>
              </w:rPr>
              <w:t>项目编号</w:t>
            </w:r>
          </w:p>
        </w:tc>
        <w:tc>
          <w:tcPr>
            <w:tcW w:w="3156" w:type="dxa"/>
            <w:vAlign w:val="top"/>
          </w:tcPr>
          <w:p>
            <w:pPr>
              <w:pStyle w:val="8"/>
              <w:spacing w:before="302" w:line="218" w:lineRule="auto"/>
              <w:ind w:left="1061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KJ2025-1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</w:p>
        </w:tc>
        <w:tc>
          <w:tcPr>
            <w:tcW w:w="1348" w:type="dxa"/>
            <w:vAlign w:val="top"/>
          </w:tcPr>
          <w:p>
            <w:pPr>
              <w:pStyle w:val="8"/>
              <w:spacing w:before="303" w:line="219" w:lineRule="auto"/>
              <w:ind w:left="196"/>
            </w:pPr>
            <w:r>
              <w:rPr>
                <w:spacing w:val="-2"/>
              </w:rPr>
              <w:t>采购方式</w:t>
            </w:r>
          </w:p>
        </w:tc>
        <w:tc>
          <w:tcPr>
            <w:tcW w:w="1823" w:type="dxa"/>
            <w:vAlign w:val="top"/>
          </w:tcPr>
          <w:p>
            <w:pPr>
              <w:bidi w:val="0"/>
              <w:ind w:firstLine="210" w:firstLineChars="10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单一来源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312" w:line="220" w:lineRule="auto"/>
              <w:ind w:left="324"/>
            </w:pPr>
            <w:r>
              <w:rPr>
                <w:spacing w:val="3"/>
              </w:rPr>
              <w:t>项目名称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310" w:line="219" w:lineRule="auto"/>
              <w:ind w:left="392"/>
            </w:pPr>
            <w:r>
              <w:rPr>
                <w:rFonts w:hint="eastAsia" w:eastAsia="宋体" w:cs="Times New Roman"/>
                <w:lang w:val="en-US" w:eastAsia="zh-CN"/>
              </w:rPr>
              <w:t>嘉兴银行下辖歙县嘉银、浦江嘉银两家村镇银行业务系统数据迁移项目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02" w:line="219" w:lineRule="auto"/>
              <w:ind w:left="324"/>
            </w:pPr>
            <w:r>
              <w:rPr>
                <w:spacing w:val="-2"/>
              </w:rPr>
              <w:t>采购单位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203" w:line="219" w:lineRule="auto"/>
              <w:ind w:left="1951"/>
            </w:pPr>
            <w:r>
              <w:rPr>
                <w:spacing w:val="3"/>
              </w:rPr>
              <w:t>嘉兴银行股份有限公司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75" w:line="220" w:lineRule="auto"/>
              <w:ind w:left="324"/>
            </w:pPr>
            <w:r>
              <w:rPr>
                <w:spacing w:val="6"/>
              </w:rPr>
              <w:t>流标原因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273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投标供应商</w:t>
            </w:r>
            <w:r>
              <w:rPr>
                <w:rFonts w:hint="eastAsia"/>
                <w:spacing w:val="1"/>
                <w:lang w:val="en-US" w:eastAsia="zh-CN"/>
              </w:rPr>
              <w:t>未参加招标活动，本次招标作流标处理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26" w:line="220" w:lineRule="auto"/>
              <w:ind w:left="324"/>
            </w:pPr>
            <w:r>
              <w:rPr>
                <w:spacing w:val="5"/>
              </w:rPr>
              <w:t>开标时间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225" w:line="219" w:lineRule="auto"/>
              <w:ind w:left="1832"/>
            </w:pPr>
            <w:r>
              <w:t>2025年06月</w:t>
            </w:r>
            <w:r>
              <w:rPr>
                <w:rFonts w:hint="eastAsia"/>
                <w:lang w:val="en-US" w:eastAsia="zh-CN"/>
              </w:rPr>
              <w:t>23</w:t>
            </w:r>
            <w:r>
              <w:t>日09时30分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28" w:line="221" w:lineRule="auto"/>
              <w:ind w:left="324"/>
            </w:pPr>
            <w:r>
              <w:rPr>
                <w:spacing w:val="5"/>
              </w:rPr>
              <w:t>公示时间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226" w:line="219" w:lineRule="auto"/>
              <w:ind w:left="2371"/>
            </w:pPr>
            <w:r>
              <w:rPr>
                <w:spacing w:val="4"/>
              </w:rPr>
              <w:t>2025年</w:t>
            </w:r>
            <w:r>
              <w:rPr>
                <w:rFonts w:hint="eastAsia"/>
                <w:spacing w:val="4"/>
                <w:lang w:val="en-US" w:eastAsia="zh-CN"/>
              </w:rPr>
              <w:t>7</w:t>
            </w:r>
            <w:r>
              <w:rPr>
                <w:spacing w:val="4"/>
              </w:rPr>
              <w:t>月</w:t>
            </w:r>
            <w:r>
              <w:rPr>
                <w:rFonts w:hint="eastAsia"/>
                <w:spacing w:val="4"/>
                <w:lang w:val="en-US" w:eastAsia="zh-CN"/>
              </w:rPr>
              <w:t>11</w:t>
            </w:r>
            <w:r>
              <w:rPr>
                <w:spacing w:val="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59" w:line="221" w:lineRule="auto"/>
              <w:ind w:left="324"/>
            </w:pPr>
            <w:r>
              <w:rPr>
                <w:spacing w:val="-2"/>
              </w:rPr>
              <w:t>监督电话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pStyle w:val="8"/>
              <w:spacing w:before="281"/>
              <w:ind w:left="2371"/>
            </w:pPr>
            <w:r>
              <w:rPr>
                <w:spacing w:val="-1"/>
              </w:rPr>
              <w:t>0573-82080071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23" w:type="dxa"/>
            <w:vAlign w:val="top"/>
          </w:tcPr>
          <w:p>
            <w:pPr>
              <w:pStyle w:val="8"/>
              <w:spacing w:before="270" w:line="221" w:lineRule="auto"/>
              <w:ind w:left="565"/>
            </w:pPr>
            <w:r>
              <w:rPr>
                <w:spacing w:val="6"/>
              </w:rPr>
              <w:t>备注</w:t>
            </w:r>
          </w:p>
        </w:tc>
        <w:tc>
          <w:tcPr>
            <w:tcW w:w="63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75" w:line="219" w:lineRule="auto"/>
        <w:ind w:left="56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嘉兴银行股份有限公司</w:t>
      </w:r>
    </w:p>
    <w:p>
      <w:pPr>
        <w:spacing w:before="155" w:line="219" w:lineRule="auto"/>
        <w:ind w:left="5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浙江科佳工程咨询有限公司</w:t>
      </w:r>
    </w:p>
    <w:p>
      <w:pPr>
        <w:spacing w:before="158" w:line="219" w:lineRule="auto"/>
        <w:ind w:left="5974"/>
        <w:jc w:val="center"/>
        <w:rPr>
          <w:rFonts w:ascii="宋体" w:hAnsi="宋体" w:eastAsia="宋体" w:cs="宋体"/>
          <w:sz w:val="23"/>
          <w:szCs w:val="23"/>
        </w:rPr>
      </w:pPr>
      <w:r>
        <w:rPr>
          <w:spacing w:val="4"/>
        </w:rPr>
        <w:t>2025年</w:t>
      </w:r>
      <w:r>
        <w:rPr>
          <w:rFonts w:hint="eastAsia"/>
          <w:spacing w:val="4"/>
          <w:lang w:val="en-US" w:eastAsia="zh-CN"/>
        </w:rPr>
        <w:t>7</w:t>
      </w:r>
      <w:r>
        <w:rPr>
          <w:spacing w:val="4"/>
        </w:rPr>
        <w:t>月</w:t>
      </w:r>
      <w:r>
        <w:rPr>
          <w:rFonts w:hint="eastAsia"/>
          <w:spacing w:val="4"/>
          <w:lang w:val="en-US" w:eastAsia="zh-CN"/>
        </w:rPr>
        <w:t>11</w:t>
      </w:r>
      <w:r>
        <w:rPr>
          <w:spacing w:val="4"/>
        </w:rPr>
        <w:t>日</w:t>
      </w:r>
    </w:p>
    <w:sectPr>
      <w:pgSz w:w="11900" w:h="16830"/>
      <w:pgMar w:top="1430" w:right="1785" w:bottom="0" w:left="17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152213D"/>
    <w:rsid w:val="52EF3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189</Characters>
  <TotalTime>4</TotalTime>
  <ScaleCrop>false</ScaleCrop>
  <LinksUpToDate>false</LinksUpToDate>
  <CharactersWithSpaces>190</CharactersWithSpaces>
  <Application>WPS Office_11.8.2.8721_F1E327BC-269C-435d-A152-05C5408002CA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2025-06-30T16:08:00Z</dcterms:created>
  <dc:creator>Administrator</dc:creator>
  <cp:lastModifiedBy>admin</cp:lastModifiedBy>
  <dcterms:modified xsi:type="dcterms:W3CDTF">2025-07-10T08:31:51Z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2025-06-30T16:08:52Z</vt:filetime>
  </property>
  <property fmtid="{D5CDD505-2E9C-101B-9397-08002B2CF9AE}" pid="4" name="UsrData">
    <vt:lpwstr>686246124feef9001f6fbdeewl</vt:lpwstr>
  </property>
  <property fmtid="{D5CDD505-2E9C-101B-9397-08002B2CF9AE}" pid="5" name="KSOTemplateDocerSaveRecord">
    <vt:lpwstr>eyJoZGlkIjoiNzg0ZjcwMDgzYWUzM2NmMmZiNTM0MjM2NWEwNTU3YjEifQ==</vt:lpwstr>
  </property>
  <property fmtid="{D5CDD505-2E9C-101B-9397-08002B2CF9AE}" pid="6" name="KSOProductBuildVer">
    <vt:lpwstr>2052-11.8.2.8721</vt:lpwstr>
  </property>
  <property fmtid="{D5CDD505-2E9C-101B-9397-08002B2CF9AE}" pid="7" name="ICV">
    <vt:lpwstr>B7B5BB8FEBA14D09A42E1C12F1CA28EB_12</vt:lpwstr>
  </property>
</Properties>
</file>