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12.0 -->
  <w:body>
    <w:p w:rsidR="00B11AE6" w:rsidRPr="00AC3F90">
      <w:pPr>
        <w:widowControl/>
        <w:shd w:val="clear" w:color="auto" w:fill="FFFFFF"/>
        <w:spacing w:line="837" w:lineRule="atLeast"/>
        <w:jc w:val="center"/>
        <w:outlineLvl w:val="1"/>
        <w:rPr>
          <w:rFonts w:asciiTheme="majorEastAsia" w:eastAsiaTheme="majorEastAsia" w:hAnsiTheme="majorEastAsia" w:cs="宋体"/>
          <w:b/>
          <w:bCs/>
          <w:color w:val="004EA2"/>
          <w:kern w:val="0"/>
          <w:sz w:val="28"/>
          <w:szCs w:val="28"/>
        </w:rPr>
      </w:pPr>
      <w:r w:rsidRPr="00AC3F90">
        <w:rPr>
          <w:rFonts w:asciiTheme="majorEastAsia" w:eastAsiaTheme="majorEastAsia" w:hAnsiTheme="majorEastAsia" w:cs="宋体" w:hint="eastAsia"/>
          <w:b/>
          <w:bCs/>
          <w:color w:val="004EA2"/>
          <w:kern w:val="0"/>
          <w:sz w:val="28"/>
          <w:szCs w:val="28"/>
        </w:rPr>
        <w:t>幸福99丰裕固收386天24188期理财C款</w:t>
      </w:r>
    </w:p>
    <w:p w:rsidR="00B11AE6" w:rsidRPr="00AC3F90">
      <w:pPr>
        <w:widowControl/>
        <w:shd w:val="clear" w:color="auto" w:fill="FFFFFF"/>
        <w:spacing w:line="837" w:lineRule="atLeast"/>
        <w:jc w:val="center"/>
        <w:outlineLvl w:val="1"/>
        <w:rPr>
          <w:rFonts w:asciiTheme="majorEastAsia" w:eastAsiaTheme="majorEastAsia" w:hAnsiTheme="majorEastAsia" w:cs="宋体"/>
          <w:b/>
          <w:bCs/>
          <w:color w:val="004EA2"/>
          <w:kern w:val="0"/>
          <w:sz w:val="28"/>
          <w:szCs w:val="28"/>
        </w:rPr>
      </w:pPr>
      <w:r w:rsidRPr="00AC3F90">
        <w:rPr>
          <w:rFonts w:asciiTheme="majorEastAsia" w:eastAsiaTheme="majorEastAsia" w:hAnsiTheme="majorEastAsia" w:cs="宋体" w:hint="eastAsia"/>
          <w:b/>
          <w:bCs/>
          <w:color w:val="004EA2"/>
          <w:kern w:val="0"/>
          <w:sz w:val="28"/>
          <w:szCs w:val="28"/>
        </w:rPr>
        <w:t>产品到期兑付公告</w:t>
      </w:r>
    </w:p>
    <w:p w:rsidR="00B11AE6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尊敬的投资者：</w:t>
      </w:r>
    </w:p>
    <w:p w:rsidR="00B11AE6">
      <w:pPr>
        <w:ind w:firstLine="48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幸福99丰裕固收386天24188期理财C款</w:t>
      </w:r>
      <w:r>
        <w:rPr>
          <w:rFonts w:asciiTheme="minorEastAsia" w:hAnsiTheme="minorEastAsia" w:cstheme="minorEastAsia" w:hint="eastAsia"/>
          <w:sz w:val="28"/>
          <w:szCs w:val="28"/>
        </w:rPr>
        <w:t>产品已于</w:t>
      </w:r>
      <w:r>
        <w:rPr>
          <w:sz w:val="28"/>
        </w:rPr>
        <w:t>2025年8月20日</w:t>
      </w:r>
      <w:r>
        <w:rPr>
          <w:sz w:val="28"/>
        </w:rPr>
        <w:t>到期终止，现将相关信息公告如下：</w:t>
      </w:r>
    </w:p>
    <w:tbl>
      <w:tblPr>
        <w:tblStyle w:val="TableGrid"/>
        <w:tblW w:w="8516" w:type="dxa"/>
        <w:jc w:val="center"/>
        <w:tblLayout w:type="fixed"/>
        <w:tblLook w:val="04A0"/>
      </w:tblPr>
      <w:tblGrid>
        <w:gridCol w:w="3934"/>
        <w:gridCol w:w="4582"/>
      </w:tblGrid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产品名称</w:t>
            </w:r>
          </w:p>
        </w:tc>
        <w:tc>
          <w:tcPr>
            <w:tcW w:w="4582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幸福99丰裕固收386天24188期理财C款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理财产品代码</w:t>
            </w:r>
          </w:p>
        </w:tc>
        <w:tc>
          <w:tcPr>
            <w:tcW w:w="4582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FYG24188C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产品登记编码</w:t>
            </w:r>
          </w:p>
        </w:tc>
        <w:tc>
          <w:tcPr>
            <w:tcW w:w="4582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Z7002224000232</w:t>
            </w:r>
            <w:r>
              <w:rPr>
                <w:rFonts w:asciiTheme="minorEastAsia" w:hAnsiTheme="minorEastAsia" w:cstheme="minorEastAsia" w:hint="eastAsia"/>
                <w:sz w:val="24"/>
              </w:rPr>
              <w:t>（可在中国</w:t>
            </w:r>
            <w:r>
              <w:rPr>
                <w:rFonts w:asciiTheme="minorEastAsia" w:hAnsiTheme="minorEastAsia" w:cstheme="minorEastAsia" w:hint="eastAsia"/>
                <w:sz w:val="24"/>
              </w:rPr>
              <w:t>理财网</w:t>
            </w:r>
            <w:r>
              <w:rPr>
                <w:rFonts w:asciiTheme="minorEastAsia" w:hAnsiTheme="minorEastAsia" w:cstheme="minorEastAsia" w:hint="eastAsia"/>
                <w:sz w:val="24"/>
              </w:rPr>
              <w:t xml:space="preserve"> www.chinawealth.com.cn 查询产品信息） 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产品起始日期</w:t>
            </w:r>
          </w:p>
        </w:tc>
        <w:tc>
          <w:tcPr>
            <w:tcW w:w="4582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2024-07-30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产品终止日期</w:t>
            </w:r>
          </w:p>
        </w:tc>
        <w:tc>
          <w:tcPr>
            <w:tcW w:w="4582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2025-08-20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产品存续天数</w:t>
            </w:r>
          </w:p>
        </w:tc>
        <w:tc>
          <w:tcPr>
            <w:tcW w:w="4582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386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</w:rPr>
              <w:t>产品累计净值</w:t>
            </w:r>
          </w:p>
        </w:tc>
        <w:tc>
          <w:tcPr>
            <w:tcW w:w="4582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1.0320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</w:rPr>
              <w:t>产品到期兑付净值</w:t>
            </w:r>
          </w:p>
        </w:tc>
        <w:tc>
          <w:tcPr>
            <w:tcW w:w="4582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1.0320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</w:rPr>
              <w:t>业绩比较基准</w:t>
            </w:r>
          </w:p>
        </w:tc>
        <w:tc>
          <w:tcPr>
            <w:tcW w:w="4582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3.00%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</w:rPr>
              <w:t>折合年化收益率</w:t>
            </w:r>
          </w:p>
        </w:tc>
        <w:tc>
          <w:tcPr>
            <w:tcW w:w="4582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3.0259</w:t>
            </w:r>
            <w:r>
              <w:rPr>
                <w:rFonts w:asciiTheme="minorEastAsia" w:hAnsiTheme="minorEastAsia" w:cstheme="minorEastAsia" w:hint="eastAsia"/>
                <w:sz w:val="24"/>
              </w:rPr>
              <w:t>%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</w:rPr>
              <w:t>固定管理费</w:t>
            </w:r>
          </w:p>
        </w:tc>
        <w:tc>
          <w:tcPr>
            <w:tcW w:w="4582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0.15%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</w:rPr>
              <w:t>销售服务费</w:t>
            </w:r>
          </w:p>
        </w:tc>
        <w:tc>
          <w:tcPr>
            <w:tcW w:w="4582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0.10%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</w:rPr>
              <w:t>浮动管理费</w:t>
            </w:r>
          </w:p>
        </w:tc>
        <w:tc>
          <w:tcPr>
            <w:tcW w:w="4582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80.00%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</w:rPr>
              <w:t>托管费</w:t>
            </w:r>
          </w:p>
        </w:tc>
        <w:tc>
          <w:tcPr>
            <w:tcW w:w="4582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0.029</w:t>
            </w:r>
            <w:r>
              <w:rPr>
                <w:rFonts w:asciiTheme="minorEastAsia" w:hAnsiTheme="minorEastAsia" w:cstheme="minorEastAsia" w:hint="eastAsia"/>
                <w:sz w:val="24"/>
              </w:rPr>
              <w:t>%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</w:rPr>
              <w:t>其他费用</w:t>
            </w:r>
          </w:p>
        </w:tc>
        <w:tc>
          <w:tcPr>
            <w:tcW w:w="4582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0.00%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</w:rPr>
              <w:t>收益分配情况（单位：</w:t>
            </w:r>
            <w:r>
              <w:rPr>
                <w:sz w:val="24"/>
              </w:rPr>
              <w:t>万元</w:t>
            </w:r>
            <w:r>
              <w:rPr>
                <w:sz w:val="24"/>
              </w:rPr>
              <w:t>）</w:t>
            </w:r>
          </w:p>
        </w:tc>
        <w:tc>
          <w:tcPr>
            <w:tcW w:w="4582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225.49</w:t>
            </w:r>
          </w:p>
        </w:tc>
      </w:tr>
    </w:tbl>
    <w:p w:rsidR="00B11AE6">
      <w:pPr>
        <w:rPr>
          <w:rFonts w:asciiTheme="minorEastAsia" w:hAnsiTheme="minorEastAsia" w:cstheme="minorEastAsia"/>
          <w:sz w:val="24"/>
          <w:szCs w:val="22"/>
        </w:rPr>
      </w:pPr>
    </w:p>
    <w:p w:rsidR="00B11AE6">
      <w:pPr>
        <w:ind w:firstLine="560" w:firstLineChars="200"/>
        <w:rPr>
          <w:rFonts w:asciiTheme="minorEastAsia" w:hAnsiTheme="minorEastAsia" w:cstheme="minorEastAsia"/>
          <w:sz w:val="28"/>
        </w:rPr>
      </w:pPr>
      <w:r>
        <w:rPr>
          <w:rFonts w:asciiTheme="minorEastAsia" w:hAnsiTheme="minorEastAsia" w:cstheme="minorEastAsia" w:hint="eastAsia"/>
          <w:sz w:val="28"/>
        </w:rPr>
        <w:t>特此公告。</w:t>
      </w:r>
    </w:p>
    <w:p w:rsidR="00B11AE6">
      <w:pPr>
        <w:rPr>
          <w:rFonts w:asciiTheme="minorEastAsia" w:hAnsiTheme="minorEastAsia" w:cstheme="minorEastAsia"/>
          <w:sz w:val="24"/>
        </w:rPr>
      </w:pPr>
    </w:p>
    <w:p w:rsidR="00B11AE6">
      <w:p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注：</w:t>
      </w:r>
    </w:p>
    <w:p w:rsidR="00B11AE6">
      <w:pPr>
        <w:numPr>
          <w:ilvl w:val="0"/>
          <w:numId w:val="1"/>
        </w:num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理财计划财产在管理、运用、处分过程中产生的税费（包括但不限于增值税及相应的附加税费等），由理财计划财产承担；产品管理人对该等税费无垫付义务。前述税费（包括但不限于增值税及相应附加税费）的计算、提取及缴</w:t>
      </w:r>
      <w:r>
        <w:rPr>
          <w:rFonts w:asciiTheme="minorEastAsia" w:hAnsiTheme="minorEastAsia" w:cstheme="minorEastAsia" w:hint="eastAsia"/>
          <w:sz w:val="24"/>
        </w:rPr>
        <w:t>纳，由产品管理人按</w:t>
      </w:r>
      <w:r>
        <w:rPr>
          <w:rFonts w:asciiTheme="minorEastAsia" w:hAnsiTheme="minorEastAsia" w:cstheme="minorEastAsia" w:hint="eastAsia"/>
          <w:sz w:val="24"/>
        </w:rPr>
        <w:t>照应税</w:t>
      </w:r>
      <w:r>
        <w:rPr>
          <w:rFonts w:asciiTheme="minorEastAsia" w:hAnsiTheme="minorEastAsia" w:cstheme="minorEastAsia" w:hint="eastAsia"/>
          <w:sz w:val="24"/>
        </w:rPr>
        <w:t>行为发生时有效的相关法律法规的规定执行。支付给客户的理财收益的应纳税款由客户自行申报及缴纳。</w:t>
      </w:r>
    </w:p>
    <w:p w:rsidR="00B11AE6">
      <w:pPr>
        <w:numPr>
          <w:ilvl w:val="0"/>
          <w:numId w:val="1"/>
        </w:num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本理财产品终止日起，清算过程中各项利息及费用与实际结算金额的尾差由管理人承担。</w:t>
      </w:r>
    </w:p>
    <w:p w:rsidR="00B11AE6">
      <w:pPr>
        <w:numPr>
          <w:ilvl w:val="0"/>
          <w:numId w:val="1"/>
        </w:num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托管费：原则上按日计提，逐日累计至到期日从理财计划财产中扣除。</w:t>
      </w:r>
    </w:p>
    <w:p w:rsidR="00B11AE6">
      <w:pPr>
        <w:numPr>
          <w:ilvl w:val="0"/>
          <w:numId w:val="1"/>
        </w:num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固定管理费：原则上按日计提，逐日累计至到期日从理财计划财产中扣除。</w:t>
      </w:r>
    </w:p>
    <w:p w:rsidR="00B11AE6">
      <w:pPr>
        <w:numPr>
          <w:ilvl w:val="0"/>
          <w:numId w:val="1"/>
        </w:num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固定管理费、销售服务费、托管费、其他费用为对应费用的收取费率。浮动管理费为产品实际业绩超出产品说明书中约定的提取标准后，管理人对超出部分收取的超额业绩报酬比例。</w:t>
      </w:r>
    </w:p>
    <w:p w:rsidR="00B11AE6">
      <w:pPr>
        <w:numPr>
          <w:ilvl w:val="0"/>
          <w:numId w:val="1"/>
        </w:num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各期理财产品详细信息可根据产品登记编码登录中国</w:t>
      </w:r>
      <w:r>
        <w:rPr>
          <w:rFonts w:asciiTheme="minorEastAsia" w:hAnsiTheme="minorEastAsia" w:cstheme="minorEastAsia" w:hint="eastAsia"/>
          <w:sz w:val="24"/>
        </w:rPr>
        <w:t>理财网</w:t>
      </w:r>
      <w:r>
        <w:rPr>
          <w:rFonts w:asciiTheme="minorEastAsia" w:hAnsiTheme="minorEastAsia" w:cstheme="minorEastAsia" w:hint="eastAsia"/>
          <w:sz w:val="24"/>
        </w:rPr>
        <w:t>进行查询。</w:t>
      </w:r>
    </w:p>
    <w:p w:rsidR="00B11AE6">
      <w:pPr>
        <w:ind w:left="360"/>
        <w:jc w:val="right"/>
        <w:rPr>
          <w:rFonts w:ascii="仿宋_GB2312" w:eastAsia="仿宋_GB2312" w:hAnsi="仿宋_GB2312" w:cs="仿宋_GB2312"/>
          <w:sz w:val="24"/>
        </w:rPr>
      </w:pPr>
    </w:p>
    <w:p w:rsidR="00B11AE6">
      <w:pPr>
        <w:ind w:left="360"/>
        <w:jc w:val="right"/>
        <w:rPr>
          <w:rFonts w:ascii="仿宋_GB2312" w:eastAsia="仿宋_GB2312" w:hAnsi="仿宋_GB2312" w:cs="仿宋_GB2312"/>
          <w:sz w:val="28"/>
          <w:szCs w:val="28"/>
        </w:rPr>
      </w:pPr>
    </w:p>
    <w:p w:rsidR="00B11AE6">
      <w:pPr>
        <w:ind w:left="360"/>
        <w:jc w:val="righ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杭银理财</w:t>
      </w:r>
      <w:r>
        <w:rPr>
          <w:rFonts w:asciiTheme="minorEastAsia" w:hAnsiTheme="minorEastAsia" w:cstheme="minorEastAsia" w:hint="eastAsia"/>
          <w:sz w:val="28"/>
          <w:szCs w:val="28"/>
        </w:rPr>
        <w:t>有限责任公司</w:t>
      </w:r>
    </w:p>
    <w:p w:rsidR="00B11AE6">
      <w:pPr>
        <w:jc w:val="right"/>
        <w:rPr>
          <w:rFonts w:asciiTheme="minorEastAsia" w:hAnsiTheme="minorEastAsia" w:cstheme="minorEastAsia"/>
          <w:sz w:val="28"/>
          <w:szCs w:val="28"/>
        </w:rPr>
      </w:pPr>
      <w:bookmarkStart w:id="0" w:name="_GoBack"/>
      <w:bookmarkEnd w:id="0"/>
      <w:r>
        <w:rPr>
          <w:rFonts w:asciiTheme="minorEastAsia" w:hAnsiTheme="minorEastAsia" w:cstheme="minorEastAsia" w:hint="eastAsia"/>
          <w:sz w:val="28"/>
          <w:szCs w:val="28"/>
        </w:rPr>
        <w:t>2025年8月21日</w:t>
      </w:r>
    </w:p>
    <w:sectPr>
      <w:headerReference w:type="default" r:id="rId5"/>
      <w:pgSz w:w="11906" w:h="16838"/>
      <w:pgMar w:top="2551" w:right="1803" w:bottom="2551" w:left="1803" w:header="851" w:footer="992" w:gutter="0"/>
      <w:cols w:space="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11AE6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D3811CC"/>
    <w:multiLevelType w:val="multilevel"/>
    <w:tmpl w:val="1D3811CC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00"/>
  <w:embedSystemFonts/>
  <w:bordersDoNotSurroundHeader/>
  <w:bordersDoNotSurroundFooter/>
  <w:proofState w:spelling="clean" w:grammar="clean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87052B"/>
    <w:rsid w:val="001E34DE"/>
    <w:rsid w:val="00200A72"/>
    <w:rsid w:val="002469CB"/>
    <w:rsid w:val="002B4BBF"/>
    <w:rsid w:val="003841A4"/>
    <w:rsid w:val="00412E97"/>
    <w:rsid w:val="005200AA"/>
    <w:rsid w:val="00573563"/>
    <w:rsid w:val="00592C06"/>
    <w:rsid w:val="005E397D"/>
    <w:rsid w:val="00603D57"/>
    <w:rsid w:val="00632F14"/>
    <w:rsid w:val="006D7051"/>
    <w:rsid w:val="0073172D"/>
    <w:rsid w:val="007809D7"/>
    <w:rsid w:val="007A3E72"/>
    <w:rsid w:val="007B0559"/>
    <w:rsid w:val="00860348"/>
    <w:rsid w:val="00863721"/>
    <w:rsid w:val="008D2DFF"/>
    <w:rsid w:val="009D66D1"/>
    <w:rsid w:val="00AC2AB6"/>
    <w:rsid w:val="00AC3F90"/>
    <w:rsid w:val="00B11AE6"/>
    <w:rsid w:val="00BB5D37"/>
    <w:rsid w:val="00C10907"/>
    <w:rsid w:val="00C47DF8"/>
    <w:rsid w:val="00C87BF7"/>
    <w:rsid w:val="00D00D6A"/>
    <w:rsid w:val="00E846FF"/>
    <w:rsid w:val="00F965A1"/>
    <w:rsid w:val="00FA50AB"/>
    <w:rsid w:val="050F5184"/>
    <w:rsid w:val="0AB0656E"/>
    <w:rsid w:val="0CB459D4"/>
    <w:rsid w:val="151D7E14"/>
    <w:rsid w:val="18462C74"/>
    <w:rsid w:val="190B63BC"/>
    <w:rsid w:val="1F0A0FE5"/>
    <w:rsid w:val="1F48553E"/>
    <w:rsid w:val="21F964F5"/>
    <w:rsid w:val="28362D7D"/>
    <w:rsid w:val="2AB67C98"/>
    <w:rsid w:val="3286081F"/>
    <w:rsid w:val="3BF50A6E"/>
    <w:rsid w:val="3C231661"/>
    <w:rsid w:val="3E174A3C"/>
    <w:rsid w:val="3ED86525"/>
    <w:rsid w:val="3F221A4C"/>
    <w:rsid w:val="3FC04F0B"/>
    <w:rsid w:val="447B660D"/>
    <w:rsid w:val="462266D9"/>
    <w:rsid w:val="4C4A04BD"/>
    <w:rsid w:val="50B7489E"/>
    <w:rsid w:val="50DC0E7A"/>
    <w:rsid w:val="548E4345"/>
    <w:rsid w:val="595715BE"/>
    <w:rsid w:val="5A7F5A78"/>
    <w:rsid w:val="600F7924"/>
    <w:rsid w:val="612B75BF"/>
    <w:rsid w:val="661D745C"/>
    <w:rsid w:val="6687052B"/>
    <w:rsid w:val="6B6670CE"/>
    <w:rsid w:val="6D5B6E8B"/>
    <w:rsid w:val="6D623B7E"/>
    <w:rsid w:val="6E683E61"/>
    <w:rsid w:val="71B3167E"/>
    <w:rsid w:val="78026722"/>
    <w:rsid w:val="79337090"/>
    <w:rsid w:val="7EA037DA"/>
    <w:rsid w:val="7EF7C949"/>
  </w:rsids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9161B409-4ACC-4B12-A793-B6166DB3E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eastAsia="宋体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eastAsia="宋体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eastAsia="宋体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qFormat/>
    <w:pPr>
      <w:jc w:val="left"/>
    </w:p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hspcadmin</cp:lastModifiedBy>
  <cp:revision>23</cp:revision>
  <dcterms:created xsi:type="dcterms:W3CDTF">2022-08-17T14:47:00Z</dcterms:created>
  <dcterms:modified xsi:type="dcterms:W3CDTF">2025-07-30T09:25:00Z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