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9" w:name="_GoBack"/>
            <w:bookmarkEnd w:id="9"/>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天天万利宝稳利2号净值型理财产品K款</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天天万利宝稳利2号净值型理财产品K款</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9K218028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Z7002020000028</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开放式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2,041,672,997.07份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稳利恒盈K 6个月</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9K218028（适用【A】份额）</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2,034,072,616.77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稳利恒盈K 6个月B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9K218128</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7,600,380.30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14"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gridCol w:w="1500"/>
              <w:gridCol w:w="1500"/>
              <w:gridCol w:w="1500"/>
              <w:gridCol w:w="1500"/>
              <w:gridCol w:w="1500"/>
              <w:gridCol w:w="15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2024年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2023年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2022年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2021年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2020年</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9K218028（适用【A】份额）</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2.98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2.71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3.84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2.23</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业绩比较基准（9K218028（适用【A】份额））：1.70%--2.70%</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业绩比较基准（9K218128）：1.60%--2.60%</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（2）天天万利宝稳利2号净值型理财产品K款成立于2018年12月25日，数据截止至2025年06月30日。过往业绩是由兴银理财有限责任公司计算并确认后所提供的数据。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9K218028</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2,061,857,271.65</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9K218028（适用【A】份额）</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2,054,185,854.96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9K218128</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1.00935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1.03449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7,671,416.69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彭岩女士，上海交通大学管理科学硕士，3年以上债券投资交易经验。2019年加入兴业银行资产管理事业部，现任兴银理财固定收益投资经理，主要负责债券投资和固收组合管理工作。专注自上而下的大类资产配置，投资风格稳健，交易能力较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李洪捷女士，上海财经大学金融硕士，注册会计师。曾任交银理财有限责任公司投资经理，2024年加入兴银理</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4" w:name="JR_PAGE_ANCHOR_0_5"/>
            <w:bookmarkEnd w:id="4"/>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8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rPr>
              <w:t>财，现任兴银理财固定收益投资二部投资经理，在债券投资交易和组合流动性管理方面具有丰富经验，投资风格稳健。</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7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2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一、2025年上半年投资策略与运作回顾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2025年上半年，债券市场主要受到资金面和事件冲击影响，告别2024年末的单边下行趋势，总体呈现宽幅震荡格局。回顾上半年的债市，大致可以分为三个阶段：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1月初到3月末，债市利率大幅上行。2024年末市场对于货币政策宽松的预期提前透支了大量利率下行空间，但宽松政策未如期落地。同时，央行1月工作会议提出坚决防范汇率风险的要求，资金面维持紧平衡，资金利率持续处于高位。Deepseek横空出世引爆科技热点，权益市场快速上涨，市场风险偏好回升。多重因素叠加引发债券收益率大幅上行，期间10年国债最高触及1.89%，30年国债最高触及2.14%，NCD上行至2.0%以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4月初到5月底，利率快速下行后小幅回调：4月初，特朗普“对等关税”超预期落地，外部压力增加，经济面临的不确定性上升。市场对宽货币预期强烈，债券利率快速下行。5月上旬，央行行长潘功胜宣布将降低存款准备金率0.5%，并下调公开市场7天期逆回购操作利率0.1%至1.4%，降准降息落地。5月中下旬，债市受到中美关税谈判，存款利率下降对银行负债端的担忧等因素影响，利率震荡上行。</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（3）6月，债市波动率下降，利率震荡下行。进入6月后，市场增量信息减少，债市波动率下降。在央行对资金面的呵护下，资金利率中枢不断下行，短端利率带动中长端利率震荡下行，同时利差显著压缩。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上半年来看，收益率方面1年NCD、1年国债、10年国债、30年国债、信用债3年AAA、3年AA+、5年AAA、5年AA+分别变动+5BP、+26BP、-3BP、-5BP、+9BP、-1BP、-19bp、+4bp、-3bp; 信用利差方面3年AAA、3年AA+、5年AAA、5年AA+分别变动-6BP、-16BP、-7BP、-14BP。</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产品运作上，一季度资金面持续收紧，整体采取防守策略，产品逐步降低信用债的占比和久期，降低杠杆水平，逢收益率高点增加信用短债和同业存单的配置。二季度以来，产品逐步转为偏积极的久期和杠杆，持续建仓在利差和骑乘方面具有性价比的信用债，提升组合静态与久期，并赚取利差压缩的收益；逢利率上行，交易性仓位适度左侧参与二永债和利率债波段交易，对产品业绩形成增厚。</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二、2025年三季度投资策略展望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展望三季度，抢出口效应对出口的拉动可能将边际减弱，三季度出口增速预期将趋于下降；内需方面，地产和消费数据表现较为疲软，内生动能稍显不足，基本面将继续承压。在基本面未趋势性改善前，预期央行货币政策的宽松基调仍将延续。且从历史数据看，7-8月往往是全年资金利率低点，预期流动性环境整体宽松。债券供求方面，三季度政府债券发行量仍较大，主要集中在8月，但低于去年同期，在宽松的资金面下预期供给压力可控。经历二季度债券利率显著下行后，三季度市场或进入偏强震荡格局，在偏弱基本面和宽松资金面的支撑下，利率大幅调整可能性较小，但继续向下突破则需要进一步货币宽松的配合。同时，还需注意三季度债市的潜在扰动，如特朗普关税政策超预期，增量财政政策发力，以及权益市场超预期表现对风险偏好的影响等。</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策略上看，三季度主要以震荡市应对，积极关注中短信用债的配置机会，把握确定性的票息收益；同时更加灵活地调整久期，保持一定的组合流动性，抓住中美关税谈判、央行重启国债买卖等事件性冲击带来的资本利得机会，增厚组合收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1880" w:hRule="exac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6"/>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35.67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48.47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同业存单</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11.57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金融衍生品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23.76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非标准化债权类资产</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8.72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23.67</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报告期末本产品总资产未超过该产品净资产规模的140%，符合产品协议对本产品杠杆比例的要求。</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一方面来自理财份额持有人可在约定的开放日提出赎回其持有的理财份额，另一方面来自于若投资品种所处的交易市场不活跃，可能带来资产变现困难或产品持仓资产在市场出现剧烈波动的情况下难以以合理价格变现的风险。 为防范无法支付赎回款而产生的流动性风险，本理财产品管理人将合理安排所投资产期限，持续根据市场变化情况做好投资安排，尽可能降低产品流动性风险，有效保障理财持有人利益。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26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Z存放同业20241219002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303,329,427.00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14.71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Z存放同业20250620001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250,164,236.16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Z存放同业20250530001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249,981,966.21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12.12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华夏金租同业借款20250313002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200,122,822.22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9.71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24上海银行CD242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99,191,489.86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4.81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50,008,205.48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2.43</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6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鹏扬中债-30年期国债交易型开放式指数证券投资基金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44,291,503.34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21东莞银行二级01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41,383,265.75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2.01</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22建设银行二级01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41,319,691.51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平安惠泽纯债债券型证券投资基金</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39,668,759.66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1.92</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华夏金租同业借款20250313002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华夏金融租赁有限公司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同业借款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正常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34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7" w:name="JR_PAGE_ANCHOR_0_8"/>
            <w:bookmarkEnd w:id="7"/>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30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24兴化国投PPN004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21东莞银行二级01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25民生银行永续债01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25浦发银行永续债01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30,000,000.00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12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兴业天融债券型证券投资基金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1.9075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兴业添利债券型证券投资基金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1.7963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兴业信托·兴享稳鑫5号集合资金信托计划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0.0374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天天万利宝稳利2号净值型理财产品K款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15.5485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天天万利宝稳利2号净值型理财产品K款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50.4174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兴业基金-兴富101号集合资产管理计划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0.9511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兴业基金管理有限公司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兴瀚资管-兴添翼80号集合资产管理计划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0.2300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上海兴瀚资产管理有限公司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天天万利宝稳利2号净值型理财产品K款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0.0406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销售服务费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九江银行股份有限公司</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兴业信托·兴享稳鑫12号集合资金信托计划</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0.1603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管理费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兴业国际信托有限公司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7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8/</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8" w:name="JR_PAGE_ANCHOR_0_9"/>
            <w:bookmarkEnd w:id="8"/>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天天万利宝稳利2号净值型理财产品K款2025年第二季度报告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051010100100721951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兴业银行理财托管专户天天万利宝稳利2号K款</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115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9</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documentProtection w:enforcement="0"/>
  <w:defaultTabStop w:val="800"/>
  <w:compat>
    <w:useFELayout/>
    <w:splitPgBreakAndParaMark/>
    <w:compatSetting w:name="compatibilityMode" w:uri="http://schemas.microsoft.com/office/word" w:val="12"/>
  </w:compat>
  <w:rsids>
    <w:rsidRoot w:val="00000000"/>
    <w:rsid w:val="0815778D"/>
    <w:rsid w:val="74EF1CF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2025-07-11T15:20:00Z</dcterms:created>
  <cp:lastModifiedBy>diwenjun1</cp:lastModifiedBy>
  <dcterms:modified xsi:type="dcterms:W3CDTF">2025-07-12T04:02:57Z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