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兴银理财稳添利年盈1号(1年最短持有期)日开固收类理财产品2025年第二季度报告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兴银理财稳添利年盈1号(1年最短持有期)日开固收类理财产品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兴银理财稳添利年盈1号(1年最短持有期)日开固收类理财产品2025年第二季度报告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兴银理财稳添利年盈1号(1年最短持有期)日开固收类理财产品2025年第二季度报告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兴银理财稳添利年盈1号(1年最短持有期)日开固收类理财产品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9K910810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Z7002022000337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1,484,253,997.29份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兴银稳添利年盈1号A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9K91081A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713,579,283.45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兴银稳添利年盈1号B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9K91081B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11,136,273.24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兴银稳添利年盈1号C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9K91081C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759,538,440.60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兴银理财稳添利年盈1号(1年最短持有期)日开固收类理财产品2025年第二季度报告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9K91081A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9K91081B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9K91081C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业绩比较基准（9K91081A）：3.10%--4.30%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业绩比较基准（9K91081B）：2.95%--4.15%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业绩比较基准（9K91081C）：3.10%--4.30%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（2）兴银理财稳添利年盈1号(1年最短持有期)日开固收类理财产品成立于2022年06月30日，数据截止至2025年06月30日。过往业绩是由兴银理财有限责任公司计算并确认后所提供的数据。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9K910810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1.05996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1.05996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1,573,253,146.71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9K91081A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1.07886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1.07886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769,849,188.04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9K91081B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1.06477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1.06477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11,857,611.58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9K91081C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1.04214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1.04214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791,546,347.09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兴银理财稳添利年盈1号(1年最短持有期)日开固收类理财产品2025年第二季度报告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姚立宇先生，澳大利亚墨尔本大学商学学士、澳大利亚莫纳什大学应用金融学硕士，曾就职国家开发银行。2016年加入兴业银行资产管理部，2020年加入兴银理财有限责任公司，任固定收益投资经理。投资理念追求收益性和安全性兼顾，获得持续稳定回报，擅长方向通过信用研究和挖掘获取超额收益，并通过利差变化寻求交易性机会。</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w:t>
            </w:r>
            <w:bookmarkStart w:id="8" w:name="_GoBack"/>
            <w:bookmarkEnd w:id="8"/>
            <w:r>
              <w:rPr>
                <w:rFonts w:hint="eastAsia" w:ascii="微软雅黑" w:hAnsi="微软雅黑" w:eastAsia="微软雅黑" w:cs="微软雅黑"/>
                <w:color w:val="000000"/>
                <w:sz w:val="21"/>
              </w:rPr>
              <w:t>会，增厚组合收益。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兴银理财稳添利年盈1号(1年最短持有期)日开固收类理财产品2025年第二季度报告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25浦发银行CD087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98,818,591.78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中欧短债债券型证券投资基金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50,358,670.99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兴银理财稳添利年盈1号(1年最短持有期)日开固收类理财产品2025年第二季度报告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50,315,880.14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博时中债1-3年国开行债券指数证券投资基金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49,772,847.27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安联锐享17号资产管理产品持有定期存款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47,899,038.61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23常高02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41,046,186.85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新华资产-明远九十号持有定期存款(11DP251437)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36,273,297.31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22昌投01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33,145,180.49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新华资产-明远九十号持有定期存款(11DP251380)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31,748,489.25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25淮安投资MTN004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30,263,605.89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23吴中经发PPN001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23浙商银行二级资本债02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兴银理财稳添利年盈1号(1年最短持有期)日开固收类理财产品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68.6933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兴银理财稳添利年盈1号(1年最短持有期)日开固收类理财产品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12.2132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兴银理财稳添利年盈1号(1年最短持有期)日开固收类理财产品2025年第二季度报告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5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兴业基金-兴富101号集合资产管理计划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兴业信托·兴享稳鑫16号集合资金信托计划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兴业基金兴富102号集合资产管理计划资产管理</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0.1893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051010100101432541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兴银理财稳添利年盈1号1年最短持有期日开固收类理财产品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5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018C1896"/>
    <w:rsid w:val="2BA01974"/>
    <w:rsid w:val="37FB570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2025-07-11T15:17:00Z</dcterms:created>
  <dc:creator>liuke2</dc:creator>
  <cp:lastModifiedBy>xuchuhui</cp:lastModifiedBy>
  <dcterms:modified xsi:type="dcterms:W3CDTF">2025-07-12T11:55:11Z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