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w:t>
            </w:r>
            <w:bookmarkStart w:id="8" w:name="_GoBack"/>
            <w:bookmarkEnd w:id="8"/>
            <w:r>
              <w:rPr>
                <w:rFonts w:hint="eastAsia" w:ascii="微软雅黑" w:hAnsi="微软雅黑" w:eastAsia="微软雅黑" w:cs="微软雅黑"/>
                <w:b/>
                <w:color w:val="000000"/>
                <w:sz w:val="32"/>
              </w:rPr>
              <w:t>悦动1个月最短持有期日开1号固收类理财产品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9K731010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Z7002024002770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2,707,157,419.33份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丰利悦动1M持有期1号A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9K73101A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2,707,157,419.33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业绩比较基准（9K73101A）：上证0-3年AAA国企科技创新公司债指数（950171.CSI）收益率×20%+中债-新综合全价(1-3年)指数（CBA00123.CS）收益率×80%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（2）兴银理财丰利悦动1个月最短持有期日开1号固收类理财产品成立于2024年09月25日，数据截止至2025年06月30日。过往业绩是由兴银理财有限责任公司计算并确认后所提供的数据。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2,821,268,143.50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9K73101A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2,821,268,143.50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目前维持久期0.5-2年；衍生品套利策略不高于5%的比例；穿透后转债仓位不高于5%，2025年二季度债券整体走势震荡，结构上，增加中短高票息信用品种，增加组合的流动性，让组合进可攻，退可守，并择机博弈市场机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7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6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5"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永赢开泰中高等级中短债债券型证券投资基金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125,321,828.74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平安中债-中高等级公司债利差因子交易型开放式指数证券投资基金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122,378,628.37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99,998,000.00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中欧中短债债券型发起式证券投资基金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99,947,889.48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上证城投债交易型开放式指数证券投资基金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95,501,593.60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东方红短债债券型证券投资基金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80,232,774.87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广发景明中短债债券型证券投资基金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75,266,286.31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22汉阳控股PPN001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67,285,754.08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创金合信鑫日享短债债券型证券投资基金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65,065,316.93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22TCL集MTN003(科创票据)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62,052,503.84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5"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23闽建工MTN001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22电建地产MTN002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24德清建设MTN001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22光穗建发ABN003优先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24南玻SCP001(科创票据)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24晶合集成MTN001(科创票据)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23南京生物ABN001优先(科创票据)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4"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兴银理财丰利悦动1个月最短持有期日开1号固收类理财产品2025年第二季度报告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051010100102007613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兴银理财丰利悦动1个月最短持有期日开1号固收类理财产品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12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4B55468"/>
    <w:rsid w:val="39E62CBC"/>
    <w:rsid w:val="4B081948"/>
    <w:rsid w:val="52361C9E"/>
    <w:rsid w:val="5933504D"/>
    <w:rsid w:val="6E521B89"/>
    <w:rsid w:val="764131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2025-07-14T03:58:56Z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