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兴银理财丰利兴动多策略全球配置封闭式7号增强型固收类理财产品2025年第二季度报告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兴银理财丰利兴动多策略全球配置封闭式7号增强型固收类理财产品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w:t>
            </w:r>
            <w:bookmarkStart w:id="7" w:name="_GoBack"/>
            <w:bookmarkEnd w:id="7"/>
            <w:r>
              <w:rPr>
                <w:rFonts w:hint="eastAsia" w:ascii="微软雅黑" w:hAnsi="微软雅黑" w:eastAsia="微软雅黑" w:cs="微软雅黑"/>
                <w:b/>
                <w:color w:val="000000"/>
                <w:sz w:val="32"/>
              </w:rPr>
              <w:t>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兴银理财丰利兴动多策略全球配置封闭式7号增强型固收类理财产品2025年第二季度报告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兴银理财丰利兴动多策略全球配置封闭式7号增强型固收类理财产品2025年第二季度报告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兴银理财丰利兴动多策略全球配置封闭式7号增强型固收类理财产品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9K728170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Z7002024000924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272,829,099份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丰利兴动-钱潮3年7A（泰隆专属）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9K72817A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142,902,433.00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丰利兴动全球-钱潮3年7B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9K72817B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丰利兴动-钱潮3年7C（泰隆专属）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9K72817C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127,926,666.00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兴银理财丰利兴动多策略全球配置封闭式7号增强型固收类理财产品2025年第二季度报告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业绩比较基准（9K72817A）：年化【0.3%-7%】，详见 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业绩比较基准（9K72817B）：年化【0.3%-7%】，详见 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业绩比较基准（9K72817C）：年化【0.3%-7%】，详见 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（2）兴银理财丰利兴动多策略全球配置封闭式7号增强型固收类理财产品成立于2024年08月13日，数据截止至2025年06月30日。过往业绩是由兴银理财有限责任公司计算并确认后所提供的数据。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275,044,988.38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144,063,083.96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2,016,243.01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128,965,661.41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兴银理财丰利兴动多策略全球配置封闭式7号增强型固收类理财产品2025年第二季度报告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投资于挂钩钱潮指数，钱潮指数编制规则通过风险平价和动量策略优选配置全球资产，虽然二季度由于美国关税政策冲击，钱潮指数在二季度表现较弱。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兴银理财丰利兴动多策略全球配置封闭式7号增强型固收类理财产品2025年第二季度报告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22,426,868.68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14,799,076.99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质押式逆回购(11PF232432-N-07-20250630-007-IB)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14,353,223.22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13,879,202.28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12,396,199.87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11,608,962.31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22光大银行二级资本债01A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10,388,861.29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21浙商银行永续债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10,371,158.45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10,057,766.00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9,785,204.68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兴银理财丰利兴动多策略全球配置封闭式7号增强型固收类理财产品2025年第二季度报告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兴银理财丰利兴动多策略全球配置封闭式7号增强型固收类理财产品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051010100101979258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兴银理财丰利兴动多策略全球配置封闭式7号增强型固收类理财产品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A05014D"/>
    <w:rsid w:val="6FC82E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2025-07-11T15:14:00Z</dcterms:created>
  <dc:creator>893720</dc:creator>
  <cp:lastModifiedBy>893720</cp:lastModifiedBy>
  <dcterms:modified xsi:type="dcterms:W3CDTF">2025-07-12T11:26:19Z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