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w:t>
            </w:r>
            <w:bookmarkStart w:id="7" w:name="_GoBack"/>
            <w:bookmarkEnd w:id="7"/>
            <w:r>
              <w:rPr>
                <w:rFonts w:hint="eastAsia" w:ascii="微软雅黑" w:hAnsi="微软雅黑" w:eastAsia="微软雅黑" w:cs="微软雅黑"/>
                <w:b/>
                <w:color w:val="000000"/>
                <w:sz w:val="32"/>
              </w:rPr>
              <w:t>多策略全球配置封闭式第18号增强型固收类理财产品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兴银理财丰利兴动多策略全球配置封闭式第18号增强型固收类理财产品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120,369,303份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丰利兴动-钱潮3年18A（泰隆专属）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40,925,261.00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丰利兴动-钱潮3年18C（泰隆专属）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79,444,042.00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3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业绩比较基准（9K70818A）：【年化【0.01%-6%】】:1）若钱潮指数期末价格低于或等于期初价格，则业绩比较基准（年化）为【0.01%】/  2）若钱潮指数期末价格高于期初价格，则业绩比较基准（年化）为【0.01%-6%】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业绩比较基准（9K70818C）：【年化【0.01%-6%】】:1）若钱潮指数期末价格低于或等于期初价格，则业绩比较基准（年化）为【0.01%】/  2）若钱潮指数期末价格高于期初价格，则业绩比较基准（年化）为【0.01%-6%】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（2）兴银理财丰利兴动多策略全球配置封闭式第18号增强型固收类理财产品成立于2024年11月19日，数据截止至2025年06月30日。过往业绩是由兴银理财有限责任公司计算并确认后所提供的数据。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121,144,960.43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41,188,982.17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79,955,978.26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4"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8"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9,907,214.65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6,537,588.21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6,340,629.42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6,131,227.59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5,476,101.67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5,128,334.37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4,589,346.83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4,581,526.49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4,443,083.34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4,322,677.61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兴银理财丰利兴动多策略全球配置封闭式第18号增强型固收类理财产品2025年第二季度报告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兴银理财丰利兴动多策略全球配置封闭式第18号增强型固收类理财产品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051010100102045606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兴银理财丰利兴动多策略全球配置封闭式第18号增强型固收类理财产品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371B446F"/>
    <w:rsid w:val="40845D1F"/>
    <w:rsid w:val="559716C6"/>
    <w:rsid w:val="570A62CF"/>
    <w:rsid w:val="7A691B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2025-07-11T15:13:00Z</dcterms:created>
  <dc:creator>893720</dc:creator>
  <cp:lastModifiedBy>893720</cp:lastModifiedBy>
  <dcterms:modified xsi:type="dcterms:W3CDTF">2025-07-14T06:48:15Z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