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0" w:type="auto"/>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p>
            <w:pPr>
              <w:pStyle w:val="4"/>
              <w:rPr>
                <w:rFonts w:hint="eastAsia" w:ascii="微软雅黑" w:hAnsi="微软雅黑" w:eastAsia="微软雅黑" w:cs="微软雅黑"/>
              </w:rPr>
            </w:pPr>
          </w:p>
        </w:tc>
      </w:tr>
      <w:tr>
        <w:trPr>
          <w:gridAfter w:val="4"/>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兴银理财丰利逸动6个月最短持有期日开04号增强型固收类理财产品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9K706140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83,263,792.61份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41,741,801.19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13,020,449.19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28,501,542.23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0" w:type="auto"/>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业绩比较基准（9K70614A）：中债-新综合财富（1年以下）指数收益率×92.5%+万得偏股混合型基金指数收益率×2.5%+活期存款利率×5%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业绩比较基准（9K70614B）：中债-新综合财富（1年以下）指数收益率×92.5%+万得偏股混合型基金指数收益率×2.5%+活期存款利率×5%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业绩比较基准（9K70614C）：中债-新综合财富（1年以下）指数收益率×92.5%+万得偏股混合型基金指数收益率×2.5%+活期存款利率×5%</w:t>
            </w:r>
          </w:p>
        </w:tc>
        <w:tc>
          <w:p>
            <w:pPr>
              <w:pStyle w:val="4"/>
              <w:rPr>
                <w:rFonts w:hint="eastAsia" w:ascii="微软雅黑" w:hAnsi="微软雅黑" w:eastAsia="微软雅黑" w:cs="微软雅黑"/>
              </w:rPr>
            </w:pPr>
          </w:p>
        </w:tc>
      </w:tr>
      <w:tr>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（2）兴银理财丰利逸动6个月最短持有期日开04号增强型固收类理财产品成立于2025年03月13日，数据截止至2025年06月30日。过往业绩是由兴银理财有限责任公司计算并确认后所提供的数据。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85,871,255.08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43,060,222.00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13,427,172.30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29,383,860.78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trHeight w:val="12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10705" w:type="dxa"/>
              <w:tblInd w:w="-5" w:type="dxa"/>
              <w:tblLayout w:type="fixed"/>
              <w:tblCellMar>
                <w:top w:w="0" w:type="dxa"/>
                <w:left w:w="10" w:type="dxa"/>
                <w:bottom w:w="0" w:type="dxa"/>
                <w:right w:w="10" w:type="dxa"/>
              </w:tblCellMar>
            </w:tblPr>
            <w:tblGrid>
              <w:gridCol w:w="5"/>
              <w:gridCol w:w="1000"/>
              <w:gridCol w:w="4000"/>
              <w:gridCol w:w="2600"/>
              <w:gridCol w:w="3095"/>
              <w:gridCol w:w="5"/>
            </w:tblGrid>
            <w:tr>
              <w:trPr>
                <w:gridBefore w:val="1"/>
                <w:wBefore w:w="5" w:type="dxa"/>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gridSpan w:val="2"/>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gridAfter w:val="1"/>
                <w:wAfter w:w="5" w:type="dxa"/>
                <w:trHeight w:val="600" w:hRule="atLeast"/>
              </w:trPr>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83" w:hRule="exact"/>
        </w:trPr>
        <w:tc>
          <w:tcPr>
            <w:gridSpan w:val="20"/>
          </w:tcPr>
          <w:p>
            <w:pPr>
              <w:pStyle w:val="4"/>
              <w:rPr>
                <w:rFonts w:hint="default" w:ascii="微软雅黑" w:hAnsi="微软雅黑" w:eastAsia="微软雅黑" w:cs="微软雅黑"/>
                <w:lang w:val="en-US" w:eastAsia="zh-CN"/>
              </w:rPr>
            </w:pPr>
            <w:r>
              <w:rPr>
                <w:rFonts w:hint="eastAsia" w:ascii="微软雅黑" w:hAnsi="微软雅黑" w:eastAsia="微软雅黑" w:cs="微软雅黑"/>
                <w:color w:val="000000"/>
                <w:sz w:val="16"/>
              </w:rPr>
              <w:t>注:资产持仓前十</w:t>
            </w:r>
            <w:r>
              <w:rPr>
                <w:rFonts w:hint="eastAsia" w:ascii="微软雅黑" w:hAnsi="微软雅黑" w:eastAsia="微软雅黑" w:cs="微软雅黑"/>
                <w:color w:val="000000"/>
                <w:sz w:val="16"/>
                <w:lang w:val="en-US" w:eastAsia="zh-CN"/>
              </w:rPr>
              <w:t>不统计活期存款。</w:t>
            </w: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7" w:name="_GoBack"/>
            <w:bookmarkEnd w:id="7"/>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051010100102123116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0EF3C66"/>
    <w:rsid w:val="2A6A43B6"/>
    <w:rsid w:val="50D81641"/>
    <w:rsid w:val="59E847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沈晗希</cp:lastModifiedBy>
  <dcterms:modified xsi:type="dcterms:W3CDTF">2025-07-15T01:56:19Z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