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tblGrid>
      <w:tr>
        <w:tblPrEx>
          <w:tblCellMar>
            <w:top w:w="0" w:type="dxa"/>
            <w:left w:w="10" w:type="dxa"/>
            <w:bottom w:w="0" w:type="dxa"/>
            <w:right w:w="10" w:type="dxa"/>
          </w:tblCellMar>
        </w:tblPrEx>
        <w:trPr>
          <w:gridAfter w:val="4"/>
          <w:wAfter w:w="40" w:type="dxa"/>
          <w:trHeight w:val="0" w:hRule="atLeast"/>
        </w:trPr>
        <w:tc>
          <w:p>
            <w:pPr>
              <w:pStyle w:val="4"/>
              <w:rPr>
                <w:rFonts w:hint="eastAsia" w:ascii="微软雅黑" w:hAnsi="微软雅黑" w:eastAsia="微软雅黑" w:cs="微软雅黑"/>
              </w:rPr>
            </w:pPr>
            <w:bookmarkStart w:id="0" w:name="JR_PAGE_ANCHOR_0_1"/>
            <w:bookmarkEnd w:id="0"/>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兴银理财稳添利季盈21号(3个月最短持有期)日开固收类理财产品2025年第二季度报告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gridAfter w:val="4"/>
          <w:wAfter w:w="40" w:type="dxa"/>
          <w:trHeight w:val="96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30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兴银理财稳添利季盈21号(3个月最短持有期)日开固收类理财产品</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报告送出日期：2025年7月21日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7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兴银理财稳添利季盈21号(3个月最短持有期)日开固收类理财产品2025年第二季度报告</w:t>
            </w:r>
          </w:p>
        </w:tc>
        <w:tc>
          <w:p>
            <w:pPr>
              <w:pStyle w:val="4"/>
              <w:rPr>
                <w:rFonts w:hint="eastAsia" w:ascii="微软雅黑" w:hAnsi="微软雅黑" w:eastAsia="微软雅黑" w:cs="微软雅黑"/>
              </w:rPr>
            </w:pPr>
          </w:p>
        </w:tc>
      </w:tr>
      <w:tr>
        <w:trPr>
          <w:gridAfter w:val="4"/>
          <w:wAfter w:w="40" w:type="dxa"/>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gridAfter w:val="4"/>
          <w:wAfter w:w="40" w:type="dxa"/>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7. 投资账户信息</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8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2" w:name="JR_PAGE_ANCHOR_0_3"/>
            <w:bookmarkEnd w:id="2"/>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兴银理财稳添利季盈21号(3个月最短持有期)日开固收类理财产品2025年第二季度报告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3080" w:hRule="atLeast"/>
        </w:trPr>
        <w:tc>
          <w:p>
            <w:pPr>
              <w:pStyle w:val="4"/>
              <w:rPr>
                <w:rFonts w:hint="eastAsia" w:ascii="微软雅黑" w:hAnsi="微软雅黑" w:eastAsia="微软雅黑" w:cs="微软雅黑"/>
              </w:rPr>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兴银理财稳添利季盈21号(3个月最短持有期)日开固收类理财产品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9K450210</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Z7002024001061</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开放式</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3,634,087,278.8份</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人民币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R2</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稳添利季盈增利21号A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9K45021A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52,217,438.04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稳添利季盈增利21号B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9K45021B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433,271,974.69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稳添利季盈增利21号C(私行专属)</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9K45021C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84,265,702.36</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57"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3" w:name="JR_PAGE_ANCHOR_0_4"/>
            <w:bookmarkEnd w:id="3"/>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兴银理财稳添利季盈21号(3个月最短持有期)日开固收类理财产品2025年第二季度报告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稳添利季盈增利21号F</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9K45021F</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3,064,332,163.71</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16"/>
              </w:rPr>
              <w:t>注:本产品的业绩比较基准或业绩报酬计提基准等类似表述不是预期收益率，不代表产品的未来表现和实际收益，不构成对产品收益的承诺，仅供投资者进行投资决定时参考。</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0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100"/>
              <w:gridCol w:w="2200"/>
              <w:gridCol w:w="2200"/>
              <w:gridCol w:w="22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近1月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近3月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近6月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9K45021A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9K45021B</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9K45021C</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9K45021F</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2.61</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4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业绩比较基准（9K45021A）：2.00%--4.00%</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业绩比较基准（9K45021B）：2.10%--4.10%</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业绩比较基准（9K45021C）：2.15%--4.15%</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业绩比较基准（9K45021F）：1.95%--3.95%</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2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（2）兴银理财稳添利季盈21号(3个月最短持有期)日开固收类理财产品成立于2024年08月27日，数据截止至2025年06月30日。过往业绩是由兴银理财有限责任公司计算并确认后所提供的数据。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5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4" w:name="JR_PAGE_ANCHOR_0_5"/>
            <w:bookmarkEnd w:id="4"/>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兴银理财稳添利季盈21号(3个月最短持有期)日开固收类理财产品2025年第二季度报告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报告期末，产品净值表现具体如下：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9K450210</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1.02209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1.02209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3,714,376,663.61</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0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9K45021A</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1.02231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1.02231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53,382,346.78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9K45021B</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1.02302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1.02302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443,246,853.00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9K45021C</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1.02347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1.02347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86,243,465.53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9K45021F</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1.02192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1.02192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3,131,503,998.30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9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w:t>
            </w:r>
            <w:r>
              <w:rPr>
                <w:rFonts w:hint="eastAsia" w:ascii="微软雅黑" w:hAnsi="微软雅黑" w:eastAsia="微软雅黑" w:cs="微软雅黑"/>
                <w:color w:val="000000"/>
                <w:sz w:val="21"/>
                <w:lang w:val="en-US" w:eastAsia="zh-CN"/>
              </w:rPr>
              <w:t xml:space="preserve">   </w:t>
            </w:r>
            <w:r>
              <w:rPr>
                <w:rFonts w:hint="eastAsia" w:ascii="微软雅黑" w:hAnsi="微软雅黑" w:eastAsia="微软雅黑" w:cs="微软雅黑"/>
                <w:color w:val="000000"/>
                <w:sz w:val="21"/>
              </w:rPr>
              <w:t>彭岩女士，上海交通大学管理科学硕士，3年以上债券投资交易经验。2019年加入兴业银行资产管理事业部，现任兴银理财固定收益投资经理，主要负责债券投资和固收组合管理工作。专注自上而下的大类资产配置，投资风格稳健，交易能力较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w:t>
            </w:r>
            <w:r>
              <w:rPr>
                <w:rFonts w:hint="eastAsia" w:ascii="微软雅黑" w:hAnsi="微软雅黑" w:eastAsia="微软雅黑" w:cs="微软雅黑"/>
                <w:color w:val="000000"/>
                <w:sz w:val="21"/>
                <w:lang w:val="en-US" w:eastAsia="zh-CN"/>
              </w:rPr>
              <w:t xml:space="preserve">   </w:t>
            </w:r>
            <w:r>
              <w:rPr>
                <w:rFonts w:hint="eastAsia" w:ascii="微软雅黑" w:hAnsi="微软雅黑" w:eastAsia="微软雅黑" w:cs="微软雅黑"/>
                <w:color w:val="000000"/>
                <w:sz w:val="21"/>
              </w:rPr>
              <w:t>李洪捷女士，上海财经大学金融硕士，注册会计师。曾任交银理财有限责任公司投资经理，2024年加入兴银理财，现任兴银理财固定收益投资二部投资经理，在债券投资交易和组合流动性管理方面具有丰富经验，投资风格稳健。</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7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98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w:t>
            </w:r>
            <w:r>
              <w:rPr>
                <w:rFonts w:hint="eastAsia" w:ascii="微软雅黑" w:hAnsi="微软雅黑" w:eastAsia="微软雅黑" w:cs="微软雅黑"/>
                <w:color w:val="000000"/>
                <w:sz w:val="21"/>
                <w:lang w:val="en-US" w:eastAsia="zh-CN"/>
              </w:rPr>
              <w:t xml:space="preserve">   </w:t>
            </w:r>
            <w:r>
              <w:rPr>
                <w:rFonts w:hint="eastAsia" w:ascii="微软雅黑" w:hAnsi="微软雅黑" w:eastAsia="微软雅黑" w:cs="微软雅黑"/>
                <w:color w:val="000000"/>
                <w:sz w:val="21"/>
              </w:rPr>
              <w:t xml:space="preserve"> 一、2025年上半年投资策略与运作回顾</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w:t>
            </w:r>
            <w:r>
              <w:rPr>
                <w:rFonts w:hint="eastAsia" w:ascii="微软雅黑" w:hAnsi="微软雅黑" w:eastAsia="微软雅黑" w:cs="微软雅黑"/>
                <w:color w:val="000000"/>
                <w:sz w:val="21"/>
                <w:lang w:val="en-US" w:eastAsia="zh-CN"/>
              </w:rPr>
              <w:t xml:space="preserve">   </w:t>
            </w:r>
            <w:r>
              <w:rPr>
                <w:rFonts w:hint="eastAsia" w:ascii="微软雅黑" w:hAnsi="微软雅黑" w:eastAsia="微软雅黑" w:cs="微软雅黑"/>
                <w:color w:val="000000"/>
                <w:sz w:val="21"/>
              </w:rPr>
              <w:t>2025年上半年，债券市场主要受到资金面和事件冲击影响，告别2024年末的单边下行趋势，总体呈现宽幅震荡格局。回顾上半年的债市，大致可以分为三个阶段：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w:t>
            </w:r>
            <w:r>
              <w:rPr>
                <w:rFonts w:hint="eastAsia" w:ascii="微软雅黑" w:hAnsi="微软雅黑" w:eastAsia="微软雅黑" w:cs="微软雅黑"/>
                <w:color w:val="000000"/>
                <w:sz w:val="21"/>
                <w:lang w:val="en-US" w:eastAsia="zh-CN"/>
              </w:rPr>
              <w:t xml:space="preserve"> </w:t>
            </w:r>
            <w:r>
              <w:rPr>
                <w:rFonts w:hint="eastAsia" w:ascii="微软雅黑" w:hAnsi="微软雅黑" w:eastAsia="微软雅黑" w:cs="微软雅黑"/>
                <w:color w:val="000000"/>
                <w:sz w:val="21"/>
              </w:rPr>
              <w:t>（1）1月初到3月末，债市利率大幅上行。2024年末市场对于货币政策宽松的预期提前透支了大量利率下行空间，但宽松政策未如期落地。同时，央行1月工作会议提出坚决防范汇率风险的要求，资金面维持紧平衡，资金利率持续处于高位。Deepseek横空出世引爆科技热点，权益市场快速上涨，市场风险偏好回升。多重因素叠加引发债券收益率大幅上行，期间10年国债最高触及1.89%，30年国债最高触及2.14%，NCD上行至2.0%以上。</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w:t>
            </w:r>
            <w:r>
              <w:rPr>
                <w:rFonts w:hint="eastAsia" w:ascii="微软雅黑" w:hAnsi="微软雅黑" w:eastAsia="微软雅黑" w:cs="微软雅黑"/>
                <w:color w:val="000000"/>
                <w:sz w:val="21"/>
                <w:lang w:val="en-US" w:eastAsia="zh-CN"/>
              </w:rPr>
              <w:t xml:space="preserve"> </w:t>
            </w:r>
            <w:r>
              <w:rPr>
                <w:rFonts w:hint="eastAsia" w:ascii="微软雅黑" w:hAnsi="微软雅黑" w:eastAsia="微软雅黑" w:cs="微软雅黑"/>
                <w:color w:val="000000"/>
                <w:sz w:val="21"/>
              </w:rPr>
              <w:t>（2）4月初到5月底，利率快速下行后小幅回调：4月初，特朗普“对等关税”超预期落地，外部压力增加，经济面临的不确定性上升。市场对宽货币预期强烈，债券利率快速下行。5月上旬，央行行长潘功胜宣布将降低存款准备金率0.5%，并下调公开市场7天期逆回购操作利率0.1%至1.4%，降准降息落地。5月中下旬，债市受到中美关税谈判，存款利率下降对银行负债端的担忧等因素影响，利率震荡上行。</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w:t>
            </w:r>
            <w:r>
              <w:rPr>
                <w:rFonts w:hint="eastAsia" w:ascii="微软雅黑" w:hAnsi="微软雅黑" w:eastAsia="微软雅黑" w:cs="微软雅黑"/>
                <w:color w:val="000000"/>
                <w:sz w:val="21"/>
                <w:lang w:val="en-US" w:eastAsia="zh-CN"/>
              </w:rPr>
              <w:t xml:space="preserve"> </w:t>
            </w:r>
            <w:r>
              <w:rPr>
                <w:rFonts w:hint="eastAsia" w:ascii="微软雅黑" w:hAnsi="微软雅黑" w:eastAsia="微软雅黑" w:cs="微软雅黑"/>
                <w:color w:val="000000"/>
                <w:sz w:val="21"/>
              </w:rPr>
              <w:t xml:space="preserve"> （3）6月，债市波动率下降，利率震荡下行。进入6月后，市场增量信息减少，债市波动率下降。在央行对资金面的呵护下，资金利率中枢不断下行，短端利率带动中长端利率震荡下行，同时利差显著压缩。</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w:t>
            </w:r>
            <w:r>
              <w:rPr>
                <w:rFonts w:hint="eastAsia" w:ascii="微软雅黑" w:hAnsi="微软雅黑" w:eastAsia="微软雅黑" w:cs="微软雅黑"/>
                <w:color w:val="000000"/>
                <w:sz w:val="21"/>
                <w:lang w:val="en-US" w:eastAsia="zh-CN"/>
              </w:rPr>
              <w:t xml:space="preserve">   </w:t>
            </w:r>
            <w:r>
              <w:rPr>
                <w:rFonts w:hint="eastAsia" w:ascii="微软雅黑" w:hAnsi="微软雅黑" w:eastAsia="微软雅黑" w:cs="微软雅黑"/>
                <w:color w:val="000000"/>
                <w:sz w:val="21"/>
              </w:rPr>
              <w:t xml:space="preserve"> 上半年来看，收益率方面1年NCD、1年国债、10年国债、30年国债、信用债3年AAA、3年AA+、5年AAA、5年AA+分别变动+5BP、+26BP、-3BP、-5BP、+9BP、-1BP、-19bp、+4bp、-3bp; 信用利差方面3年AAA、3年AA+、5年AAA、5年AA+分别变动-6BP、-16BP、-7BP、-14BP。</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5" w:name="JR_PAGE_ANCHOR_0_6"/>
            <w:bookmarkEnd w:id="5"/>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兴银理财稳添利季盈21号(3个月最短持有期)日开固收类理财产品2025年第二季度报告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58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w:t>
            </w:r>
            <w:r>
              <w:rPr>
                <w:rFonts w:hint="eastAsia" w:ascii="微软雅黑" w:hAnsi="微软雅黑" w:eastAsia="微软雅黑" w:cs="微软雅黑"/>
                <w:color w:val="000000"/>
                <w:sz w:val="21"/>
                <w:lang w:val="en-US" w:eastAsia="zh-CN"/>
              </w:rPr>
              <w:t xml:space="preserve">   </w:t>
            </w:r>
            <w:r>
              <w:rPr>
                <w:rFonts w:hint="eastAsia" w:ascii="微软雅黑" w:hAnsi="微软雅黑" w:eastAsia="微软雅黑" w:cs="微软雅黑"/>
                <w:color w:val="000000"/>
                <w:sz w:val="21"/>
              </w:rPr>
              <w:t>产品运作上，一季度资金面持续收紧，整体采取防守策略，产品逐步降低信用债的占比和久期，降低杠杆水平，逢收益率高点增加信用短债和同业存单的配置。二季度以来，产品逐步转为偏积极的久期和杠杆，持续建仓在利差和骑乘方面具有性价比的信用债，提升组合静态与久期，并赚取利差压缩的收益；逢利率上行，交易性仓位适度左侧参与二永债和利率债波段交易，对产品业绩形成增厚。</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w:t>
            </w:r>
            <w:r>
              <w:rPr>
                <w:rFonts w:hint="eastAsia" w:ascii="微软雅黑" w:hAnsi="微软雅黑" w:eastAsia="微软雅黑" w:cs="微软雅黑"/>
                <w:color w:val="000000"/>
                <w:sz w:val="21"/>
                <w:lang w:val="en-US" w:eastAsia="zh-CN"/>
              </w:rPr>
              <w:t xml:space="preserve">   </w:t>
            </w:r>
            <w:r>
              <w:rPr>
                <w:rFonts w:hint="eastAsia" w:ascii="微软雅黑" w:hAnsi="微软雅黑" w:eastAsia="微软雅黑" w:cs="微软雅黑"/>
                <w:color w:val="000000"/>
                <w:sz w:val="21"/>
              </w:rPr>
              <w:t>二、2025年三季度投资策略展望</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w:t>
            </w:r>
            <w:r>
              <w:rPr>
                <w:rFonts w:hint="eastAsia" w:ascii="微软雅黑" w:hAnsi="微软雅黑" w:eastAsia="微软雅黑" w:cs="微软雅黑"/>
                <w:color w:val="000000"/>
                <w:sz w:val="21"/>
                <w:lang w:val="en-US" w:eastAsia="zh-CN"/>
              </w:rPr>
              <w:t xml:space="preserve">   </w:t>
            </w:r>
            <w:r>
              <w:rPr>
                <w:rFonts w:hint="eastAsia" w:ascii="微软雅黑" w:hAnsi="微软雅黑" w:eastAsia="微软雅黑" w:cs="微软雅黑"/>
                <w:color w:val="000000"/>
                <w:sz w:val="21"/>
              </w:rPr>
              <w:t>展望三季度，抢出口效应对出口的拉动可能将边际减弱，三季度出口增速预期将趋于下降；内需方面，地产和消费数据表现较为疲软，内生动能稍显不足，基本面将继续承压。在基本面未趋势性改善前，预期央行货币政策的宽松基调仍将延续。且从历史数据看，7-8月往往是全年资金利率低点，预期流动性环境整体宽松。债券供求方面，三季度政府债券发行量仍较大，主要集中在8月，但低于去年同期，在宽松的资金面下预期供给压力可控。经历二季度债券利率显著下行后，三季度市场或进入偏强震荡格局，在偏弱基本面和宽松资金面的支撑下，利率大幅调整可能性较小，但继续向下突破则需要进一步货币宽松的配合。同时，还需注意三季度债市的潜在扰动，如特朗普关税政策超预期，增量财政政策发力，以及权益市场超预期表现对风险偏好的影响等。</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w:t>
            </w:r>
            <w:r>
              <w:rPr>
                <w:rFonts w:hint="eastAsia" w:ascii="微软雅黑" w:hAnsi="微软雅黑" w:eastAsia="微软雅黑" w:cs="微软雅黑"/>
                <w:color w:val="000000"/>
                <w:sz w:val="21"/>
                <w:lang w:val="en-US" w:eastAsia="zh-CN"/>
              </w:rPr>
              <w:t xml:space="preserve">   </w:t>
            </w:r>
            <w:r>
              <w:rPr>
                <w:rFonts w:hint="eastAsia" w:ascii="微软雅黑" w:hAnsi="微软雅黑" w:eastAsia="微软雅黑" w:cs="微软雅黑"/>
                <w:color w:val="000000"/>
                <w:sz w:val="21"/>
              </w:rPr>
              <w:t>策略上看，三季度主要以震荡市应对，积极关注中短信用债的配置机会，把握确定性的票息收益；同时更加灵活地调整久期，保持一定的组合流动性，抓住中美关税谈判、央行重启国债买卖等事件性冲击带来的资本利得机会，增厚组合收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42.72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同业存单</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20.57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21.68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公募基金</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拆放同业及债券买入返售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3.27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24.43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31.17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委外投资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51.81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0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w:t>
            </w:r>
            <w:r>
              <w:rPr>
                <w:rFonts w:hint="eastAsia" w:ascii="微软雅黑" w:hAnsi="微软雅黑" w:eastAsia="微软雅黑" w:cs="微软雅黑"/>
                <w:color w:val="000000"/>
                <w:sz w:val="21"/>
                <w:lang w:val="en-US" w:eastAsia="zh-CN"/>
              </w:rPr>
              <w:t xml:space="preserve">   </w:t>
            </w:r>
            <w:r>
              <w:rPr>
                <w:rFonts w:hint="eastAsia" w:ascii="微软雅黑" w:hAnsi="微软雅黑" w:eastAsia="微软雅黑" w:cs="微软雅黑"/>
                <w:color w:val="000000"/>
                <w:sz w:val="21"/>
              </w:rPr>
              <w:t xml:space="preserve"> 报告期末本产品总资产未超过该产品净资产规模的140%，符合产品协议对本产品杠杆比例的要求。</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9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trHeight w:val="0" w:hRule="atLeast"/>
        </w:trPr>
        <w:tc>
          <w:p>
            <w:pPr>
              <w:pStyle w:val="4"/>
              <w:pageBreakBefore/>
              <w:rPr>
                <w:rFonts w:hint="eastAsia" w:ascii="微软雅黑" w:hAnsi="微软雅黑" w:eastAsia="微软雅黑" w:cs="微软雅黑"/>
              </w:rPr>
            </w:pPr>
            <w:bookmarkStart w:id="6" w:name="JR_PAGE_ANCHOR_0_7"/>
            <w:bookmarkEnd w:id="6"/>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兴银理财稳添利季盈21号(3个月最短持有期)日开固收类理财产品2025年第二季度报告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w:t>
            </w:r>
            <w:r>
              <w:rPr>
                <w:rFonts w:hint="eastAsia" w:ascii="微软雅黑" w:hAnsi="微软雅黑" w:eastAsia="微软雅黑" w:cs="微软雅黑"/>
                <w:color w:val="000000"/>
                <w:sz w:val="21"/>
                <w:lang w:val="en-US" w:eastAsia="zh-CN"/>
              </w:rPr>
              <w:t xml:space="preserve">   </w:t>
            </w:r>
            <w:r>
              <w:rPr>
                <w:rFonts w:hint="eastAsia" w:ascii="微软雅黑" w:hAnsi="微软雅黑" w:eastAsia="微软雅黑" w:cs="微软雅黑"/>
                <w:color w:val="000000"/>
                <w:sz w:val="21"/>
              </w:rPr>
              <w:t>流动性风险是指产品在履行与金融负债有关的义务时遇到资金短缺的风险。本产品的流动性风险一方面来自理财份额持有人可在约定的开放日提出赎回其持有的理财份额，另一方面来自于若投资品种所处的交易市场不活跃，可能带来资产变现困难或产品持仓资产在市场出现剧烈波动的情况下难以以合理价格变现的风险。 为防范无法支付赎回款而产生的流动性风险，本理财产品管理人将合理安排所投资产期限，持续根据市场变化情况做好投资安排，尽可能降低产品流动性风险，有效保障理财持有人利益。 报告期内，本理财产品管理人严格遵守相关法律法规以及产品销售协议，对理财产品组合资产的流动性风险进行管理，报告期内未发生流动性风险。</w:t>
            </w:r>
            <w:r>
              <w:rPr>
                <w:rFonts w:hint="eastAsia" w:ascii="微软雅黑" w:hAnsi="微软雅黑" w:eastAsia="微软雅黑" w:cs="微软雅黑"/>
                <w:color w:val="000000"/>
                <w:sz w:val="21"/>
              </w:rPr>
              <w:br w:type="textWrapping"/>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74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24工商银行CD162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198,518,562.19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5.34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民生通惠民汇90号持有定期存款</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193,884,796.07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5.22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财信信托湘信汇盛XY001号集合资金信托计划持有定期存款(11DP251276)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154,625,646.72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4.16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安联锐享8号资产管理产品持有定期存款(11DP250118)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151,933,169.20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4.09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财信信托湘信汇盛XY001号集合资金信托计划持有定期存款(11DP251478)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132,338,762.06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3.56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永诚永兴分红4号持有定期存款</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115,563,941.34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3.11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安联锐享8号资产管理产品持有定期存款(11DP250114)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101,288,779.46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安联锐享8号资产管理产品持有定期存款(11DP250117)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101,288,779.46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24农业银行CD224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99,650,812.33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24北京银行CD152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99,269,681.37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2.67</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rPr>
                      <w:trHeight w:val="600" w:hRule="atLeas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88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7" w:name="JR_PAGE_ANCHOR_0_8"/>
            <w:bookmarkEnd w:id="7"/>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兴银理财稳添利季盈21号(3个月最短持有期)日开固收类理财产品2025年第二季度报告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84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22狮投02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华福证券有限责任公司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22海兴PPN002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23华电MTN007A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24闽漳龙MTN005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25建发集MTN002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25招商局SCP002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22江北国投MTN001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23南通经开PPN002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23甘肃能化MTN001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10,800,000.00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23兴信02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12,500,000.00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兴业国信资产管理有限公司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23兴信03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兴业国信资产管理有限公司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23兴信05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兴业国信资产管理有限公司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24兴信01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兴业国信资产管理有限公司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0" w:hRule="exac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5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兴业信托·兴享稳鑫43号集合资金信托计划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0.0055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兴银理财稳添利季盈21号(3个月最短持有期)日开固收类理财产品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40.0297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兴业信托·兴享稳鑫7号集合资金信托计划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0.0014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兴业信托·兴享稳鑫22号集合资金信托计划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0.0641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华福资管鑫益1号集合资产管理计划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0.1512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华福证券资产管理有限公司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兴业信托·兴享稳鑫13号集合资金信托计划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0.0046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300" w:hRule="exac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8" w:name="JR_PAGE_ANCHOR_0_9"/>
            <w:bookmarkEnd w:id="8"/>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兴银理财稳添利季盈21号(3个月最短持有期)日开固收类理财产品2025年第二季度报告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trHeight w:val="126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兴瀚资管-兴添翼51号集合资产管理计划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0.0309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上海兴瀚资产管理有限公司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兴业信托·兴享稳鑫5号集合资金信托计划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0.0030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bookmarkStart w:id="9" w:name="_GoBack" w:colFirst="0" w:colLast="3"/>
                        <w:r>
                          <w:rPr>
                            <w:rFonts w:hint="eastAsia" w:ascii="微软雅黑" w:hAnsi="微软雅黑" w:eastAsia="微软雅黑" w:cs="微软雅黑"/>
                            <w:b/>
                            <w:color w:val="000000"/>
                            <w:sz w:val="21"/>
                          </w:rPr>
                          <w:t>序号</w:t>
                        </w:r>
                      </w:p>
                    </w:tc>
                  </w:tr>
                </w:tbl>
                <w:p>
                  <w:pPr>
                    <w:pStyle w:val="4"/>
                    <w:jc w:val="center"/>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jc w:val="center"/>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jc w:val="center"/>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jc w:val="center"/>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jc w:val="center"/>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jc w:val="center"/>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051010100101989738</w:t>
                        </w:r>
                      </w:p>
                    </w:tc>
                  </w:tr>
                </w:tbl>
                <w:p>
                  <w:pPr>
                    <w:pStyle w:val="4"/>
                    <w:jc w:val="center"/>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兴银理财稳添利季盈21号(3个月最短持有期)日开固收类理财产品</w:t>
                        </w:r>
                      </w:p>
                    </w:tc>
                  </w:tr>
                </w:tbl>
                <w:p>
                  <w:pPr>
                    <w:pStyle w:val="4"/>
                    <w:jc w:val="center"/>
                    <w:rPr>
                      <w:rFonts w:hint="eastAsia" w:ascii="微软雅黑" w:hAnsi="微软雅黑" w:eastAsia="微软雅黑" w:cs="微软雅黑"/>
                    </w:rPr>
                  </w:pPr>
                </w:p>
              </w:tc>
            </w:tr>
            <w:bookmarkEnd w:id="9"/>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2025年7月21日</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7875"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sectPr>
      <w:pgSz w:w="11900" w:h="16840"/>
      <w:pgMar w:top="600" w:right="56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cumentProtection w:enforcement="0"/>
  <w:defaultTabStop w:val="800"/>
  <w:compat>
    <w:useFELayout/>
    <w:splitPgBreakAndParaMark/>
    <w:compatSetting w:name="compatibilityMode" w:uri="http://schemas.microsoft.com/office/word" w:val="12"/>
  </w:compat>
  <w:rsids>
    <w:rsidRoot w:val="00000000"/>
    <w:rsid w:val="27BC2CF6"/>
    <w:rsid w:val="581E1F1D"/>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10</Pages>
  <TotalTime>1</TotalTime>
  <ScaleCrop>false</ScaleCrop>
  <LinksUpToDate>false</LinksUpToDate>
  <Application>WPS Office_11.8.2.12309_F1E327BC-269C-435d-A152-05C5408002CA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2025-07-11T15:10:00Z</dcterms:created>
  <dc:creator>lidongming</dc:creator>
  <cp:lastModifiedBy>lidongming</cp:lastModifiedBy>
  <dcterms:modified xsi:type="dcterms:W3CDTF">2025-07-12T04:51:17Z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2052-11.8.2.12309</vt:lpwstr>
  </property>
  <property fmtid="{D5CDD505-2E9C-101B-9397-08002B2CF9AE}" pid="3" name="ICV">
    <vt:lpwstr>AA96160019634C29A09D0362CF0983DB</vt:lpwstr>
  </property>
</Properties>
</file>