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113,806,105.2份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19,999,949.56</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38,271,607.15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13,323,120.69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19,275,108.80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兴银稳添利周盈301号H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9,936,319.00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业绩比较基准（9K41301C）：1.90%--2.90%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业绩比较基准（9K41301D）：1.90%--2.90%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业绩比较基准（9K41301E）：1.80%--2.80%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业绩比较基准（9K41301F）：1.70%--2.70%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业绩比较基准（9K41301G）：1.80%--2.80%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业绩比较基准（9K41301H）：1.70%--2.70%</w:t>
            </w:r>
          </w:p>
        </w:tc>
        <w:tc>
          <w:p>
            <w:pPr>
              <w:pStyle w:val="4"/>
              <w:rPr>
                <w:rFonts w:hint="eastAsia" w:ascii="微软雅黑" w:hAnsi="微软雅黑" w:eastAsia="微软雅黑" w:cs="微软雅黑"/>
              </w:rPr>
            </w:pPr>
          </w:p>
        </w:tc>
      </w:tr>
      <w:tr>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7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（2）兴银理财稳添利周盈(7天最短持有期)301号日开固收类理财产品成立于2025年03月25日，数据截止至2025年06月30日。过往业绩是由兴银理财有限责任公司计算并确认后所提供的数据。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5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115,150,961.47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20,241,204.17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13,156,815.47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38,723,042.08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13,476,695.92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19,502,422.38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10,050,781.45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1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6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周伟君先生，现任兴银理财专户投资部资深投资经理，浙江大学经济学硕士，FRM，10年固定收益投资经验。历任浙商银行投资经理，2020年加入兴银理财，负责企金“陆陆发”、私行周盈增利2号、定制专户等46款产品投资管理，管理规模近500亿。管理的产品覆盖各类产品和行内外各渠道，熟悉各渠道偏好需求和产品策略开发。擅长曲线研究和个券投资价值挖掘，注重衡量各类投资标的风险收益比。</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5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w:t>
            </w:r>
            <w:bookmarkStart w:id="9" w:name="_GoBack"/>
            <w:bookmarkEnd w:id="9"/>
            <w:r>
              <w:rPr>
                <w:rFonts w:hint="eastAsia" w:ascii="微软雅黑" w:hAnsi="微软雅黑" w:eastAsia="微软雅黑" w:cs="微软雅黑"/>
                <w:color w:val="000000"/>
                <w:sz w:val="21"/>
              </w:rPr>
              <w:t>至1.85%附近。1年国股NCD下行约25BP至1.63%附近，2-3年AA+信用债下行约25BP至2.0%附近。</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8,955,636.70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7,168,080.01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4,298,147.75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3,583,325.87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24鲁路桥MTN002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3,150,117.08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3,044,916.48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2,580,637.35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江苏信托-兴盛安泰3号集合资金信托计划持有定期存款(11DP250971)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2,364,995.08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江苏信托-兴盛安泰3号集合资金信托计划持有定期存款(11DP251002)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2,257,270.35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2,058,893.49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24鲁路桥MTN002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051010100102137177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rPr>
          <w:gridAfter w:val="4"/>
          <w:wAfter w:w="40" w:type="dxa"/>
          <w:trHeight w:val="12889"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D14156F"/>
    <w:rsid w:val="0E106102"/>
    <w:rsid w:val="190C1AEA"/>
    <w:rsid w:val="1D06069E"/>
    <w:rsid w:val="1F7737E8"/>
    <w:rsid w:val="34CA3AE8"/>
    <w:rsid w:val="536D1088"/>
    <w:rsid w:val="77AF32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2025-07-12T10:04:46Z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