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2,406,861,690.46份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330,318,184.11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904,861,802.09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5,795,105.00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56,456,599.26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809,430,000.00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业绩比较基准（9K24104A）：2.78%--2.98%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业绩比较基准（9K24104B）：2.80%--3.00%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业绩比较基准（9K24104C）：2.62%--2.82%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业绩比较基准（9K24104D）：2.83%--3.03%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业绩比较基准（9K24104E）：2.77%--2.97%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业绩比较基准（9K24104F）：2.85%--3.05%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（2）兴银理财丰利合享封闭式104号固收类理财产品成立于2024年11月27日，数据截止至2025年06月30日。过往业绩是由兴银理财有限责任公司计算并确认后所提供的数据。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2,448,793,516.58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336,046,109.63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920,660,124.25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5,890,090.65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57,452,352.19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823,417,967.34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305,326,872.52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color w:val="000000"/>
                <w:sz w:val="21"/>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债市在宽松的货币政策大环境及外贸不确定的大环境下走势较强，与权益保持跷跷板效应。本报告期内，本组合按照既定策略严格执行。二季度表现整体较好。展望2025年三季度及下半年，经济基本面受到外部不确定性及内需、价格影响较难短期自行企稳，积极的财政政策很有必要继续扩大，权益市场大概率震荡走强。</w:t>
            </w:r>
          </w:p>
          <w:p>
            <w:pPr>
              <w:spacing w:before="0" w:after="0" w:line="320" w:lineRule="exact"/>
              <w:ind w:firstLine="0"/>
              <w:jc w:val="left"/>
              <w:rPr>
                <w:rFonts w:hint="eastAsia" w:ascii="微软雅黑" w:hAnsi="微软雅黑" w:eastAsia="微软雅黑" w:cs="微软雅黑"/>
                <w:color w:val="000000"/>
                <w:sz w:val="21"/>
              </w:rPr>
            </w:pPr>
            <w:r>
              <w:rPr>
                <w:rFonts w:hint="eastAsia" w:ascii="微软雅黑" w:hAnsi="微软雅黑" w:eastAsia="微软雅黑" w:cs="微软雅黑"/>
                <w:color w:val="000000"/>
                <w:sz w:val="21"/>
              </w:rPr>
              <w:t>债市大概率继续震荡调整，期限及信用利差可能扩大，且波动加大。本组合将继续坚持产品的既定策略维持高比例的低波资产配置，争取在波动的市场中获取稳定的收益。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2024蚂蚁借呗中保登（衡屹2-3）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235,943,510.75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183,143,578.09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2024蚂蚁借呗中保登（智融2-8）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167,163,310.80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鑫业十三号集合资金信托计划合同（杭州分行-杭州余杭资产管理有限公司）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120,067,348.34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105,090,196.02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80,087,870.74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兴业信托·兴合X017号（柯桥建设）集合资金信托计划（杭州分行-绍兴市柯桥区建设集团有限公司）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69,360,983.87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65,095,449.60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60,079,264.66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景顺长城景瑞收益债券型证券投资基金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58,077,642.30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山西信托·鲁企优选7号集合资金信托计划（青岛分行-青岛西海岸新区融合控股集团有限公司）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渤海信托·2024成金1号集合资金信托计划-四川华西金融控股股份有限公司（成都分行）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四川华西金融控股股份有限公司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2024蚂蚁借呗中保登（衡屹2-3）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鑫业十三号集合资金信托计划合同（杭州分行-杭州余杭资产管理有限公司）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杭州余杭资产管理有限公司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2024蚂蚁借呗中保登（智融2-8）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兴业信托·兴合X017号（柯桥建设）集合资金信托计划（杭州分行-绍兴市柯桥区建设集团有限公司）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22湘家荡MTN001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23济南高新PPN002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23溧水经开PPN002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25金鼎产融SCP002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22光穗建发ABN003优先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21成都高新MTN001A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兴业信托·兴合X074（青岛城投）3号集合资金信托计划（青岛分行-青岛城市建设投资(集团)有限责任公司）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兴业信托·兴合X017号（柯桥建设）集合资金信托计划（杭州分行-绍兴市柯桥区建设集团有限公司）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051010100102052807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1696BE9"/>
    <w:rsid w:val="1E841CDF"/>
    <w:rsid w:val="2AA6644C"/>
    <w:rsid w:val="3A782819"/>
    <w:rsid w:val="53A645D4"/>
    <w:rsid w:val="77270B58"/>
    <w:rsid w:val="7D1723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wujiaqi1</dc:creator>
  <cp:lastModifiedBy>diwenjun1</cp:lastModifiedBy>
  <dcterms:modified xsi:type="dcterms:W3CDTF">2025-07-12T13:26:34Z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