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兴银理财稳添利陆盈ESG201号(6个月最短持有期)日开固收类理财产品2025年第二季度报告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兴银理财稳添利陆盈ESG201号(6个月最短持有期)日开固收类理财产品</w:t>
            </w:r>
            <w:r>
              <w:rPr>
                <w:rFonts w:ascii="宋体" w:hAnsi="宋体" w:eastAsia="宋体" w:cs="宋体"/>
                <w:b/>
                <w:color w:val="000000"/>
                <w:sz w:val="32"/>
              </w:rPr>
              <w:br w:type="textWrapping"/>
            </w:r>
            <w:r>
              <w:rPr>
                <w:rFonts w:ascii="宋体" w:hAnsi="宋体" w:eastAsia="宋体" w:cs="宋体"/>
                <w:b/>
                <w:color w:val="000000"/>
                <w:sz w:val="32"/>
              </w:rPr>
              <w:t>2025年第二季度报告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报告送出日期：2025年7月21日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兴银理财稳添利陆盈ESG201号(6个月最短持有期)日开固收类理财产品2025年第二季度报告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兴银理财稳添利陆盈ESG201号(6个月最短持有期)日开固收类理财产品2025年第二季度报告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兴银理财稳添利陆盈ESG201号(6个月最短持有期)日开固收类理财产品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9E602010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Z7002024002105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2,859,361,612.51份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稳添利ESG陆盈201号A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9E60201A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849,923,236.80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稳添利ESG陆盈201号B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9E60201B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956,890,393.45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稳添利ESG陆盈201号C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9E60201C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437,983,173.18</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6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兴银理财稳添利陆盈ESG201号(6个月最短持有期)日开固收类理财产品2025年第二季度报告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稳添利ESG陆盈201号D(私银)</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9E60201D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133,952,200.74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稳添利ESG陆盈201号E</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9E60201E</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254,944,827.97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稳添利ESG陆盈201号F</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9E60201F</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225,667,780.37</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4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9E60201A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9E60201B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9E60201C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9E60201D</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9E60201E</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9E60201F</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业绩比较基准（9E60201A）：1.70%--3.70%</w:t>
            </w:r>
            <w:r>
              <w:rPr>
                <w:rFonts w:ascii="宋体" w:hAnsi="宋体" w:eastAsia="宋体" w:cs="宋体"/>
                <w:color w:val="000000"/>
                <w:sz w:val="21"/>
              </w:rPr>
              <w:br w:type="textWrapping"/>
            </w:r>
            <w:r>
              <w:rPr>
                <w:rFonts w:ascii="宋体" w:hAnsi="宋体" w:eastAsia="宋体" w:cs="宋体"/>
                <w:color w:val="000000"/>
                <w:sz w:val="21"/>
              </w:rPr>
              <w:t>业绩比较基准（9E60201B）：1.60%--3.60%</w:t>
            </w:r>
            <w:r>
              <w:rPr>
                <w:rFonts w:ascii="宋体" w:hAnsi="宋体" w:eastAsia="宋体" w:cs="宋体"/>
                <w:color w:val="000000"/>
                <w:sz w:val="21"/>
              </w:rPr>
              <w:br w:type="textWrapping"/>
            </w:r>
            <w:r>
              <w:rPr>
                <w:rFonts w:ascii="宋体" w:hAnsi="宋体" w:eastAsia="宋体" w:cs="宋体"/>
                <w:color w:val="000000"/>
                <w:sz w:val="21"/>
              </w:rPr>
              <w:t>业绩比较基准（9E60201C）：1.70%--3.70%</w:t>
            </w:r>
            <w:r>
              <w:rPr>
                <w:rFonts w:ascii="宋体" w:hAnsi="宋体" w:eastAsia="宋体" w:cs="宋体"/>
                <w:color w:val="000000"/>
                <w:sz w:val="21"/>
              </w:rPr>
              <w:br w:type="textWrapping"/>
            </w:r>
            <w:r>
              <w:rPr>
                <w:rFonts w:ascii="宋体" w:hAnsi="宋体" w:eastAsia="宋体" w:cs="宋体"/>
                <w:color w:val="000000"/>
                <w:sz w:val="21"/>
              </w:rPr>
              <w:t>业绩比较基准（9E60201D）：1.75%--3.75%</w:t>
            </w:r>
            <w:r>
              <w:rPr>
                <w:rFonts w:ascii="宋体" w:hAnsi="宋体" w:eastAsia="宋体" w:cs="宋体"/>
                <w:color w:val="000000"/>
                <w:sz w:val="21"/>
              </w:rPr>
              <w:br w:type="textWrapping"/>
            </w:r>
            <w:r>
              <w:rPr>
                <w:rFonts w:ascii="宋体" w:hAnsi="宋体" w:eastAsia="宋体" w:cs="宋体"/>
                <w:color w:val="000000"/>
                <w:sz w:val="21"/>
              </w:rPr>
              <w:t>业绩比较基准（9E60201E）：1.80%--3.80%</w:t>
            </w:r>
            <w:r>
              <w:rPr>
                <w:rFonts w:ascii="宋体" w:hAnsi="宋体" w:eastAsia="宋体" w:cs="宋体"/>
                <w:color w:val="000000"/>
                <w:sz w:val="21"/>
              </w:rPr>
              <w:br w:type="textWrapping"/>
            </w:r>
            <w:r>
              <w:rPr>
                <w:rFonts w:ascii="宋体" w:hAnsi="宋体" w:eastAsia="宋体" w:cs="宋体"/>
                <w:color w:val="000000"/>
                <w:sz w:val="21"/>
              </w:rPr>
              <w:t>业绩比较基准（9E60201F）：1.60%--3.60%</w:t>
            </w:r>
          </w:p>
        </w:tc>
        <w:tc>
          <w:p>
            <w:pPr>
              <w:pStyle w:val="4"/>
            </w:pPr>
          </w:p>
        </w:tc>
      </w:tr>
      <w:tr>
        <w:tblPrEx>
          <w:tblCellMar>
            <w:top w:w="0" w:type="dxa"/>
            <w:left w:w="10" w:type="dxa"/>
            <w:bottom w:w="0" w:type="dxa"/>
            <w:right w:w="10" w:type="dxa"/>
          </w:tblCellMar>
        </w:tblPrEx>
        <w:trPr>
          <w:trHeight w:val="2884"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兴银理财稳添利陆盈ESG201号(6个月最短持有期)日开固收类理财产品2025年第二季度报告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（2）兴银理财稳添利陆盈ESG201号(6个月最短持有期)日开固收类理财产品成立于2024年11月21日，数据截止至2025年06月30日。过往业绩是由兴银理财有限责任公司计算并确认后所提供的数据。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9E602010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1.02926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1.02926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2,943,034,136.75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9E60201A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1.02919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1.02919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874,731,574.09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9E60201B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984,586,419.11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9E60201C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1.02970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1.02970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450,992,783.38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9E60201D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137,998,363.77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9E60201E</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262,599,886.30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9E60201F</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232,125,110.10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pPr>
          </w:p>
        </w:tc>
        <w:tc>
          <w:p>
            <w:pPr>
              <w:pStyle w:val="4"/>
            </w:pPr>
          </w:p>
        </w:tc>
      </w:tr>
      <w:tr>
        <w:tblPrEx>
          <w:tblCellMar>
            <w:top w:w="0" w:type="dxa"/>
            <w:left w:w="10" w:type="dxa"/>
            <w:bottom w:w="0" w:type="dxa"/>
            <w:right w:w="10" w:type="dxa"/>
          </w:tblCellMar>
        </w:tblPrEx>
        <w:trPr>
          <w:trHeight w:val="533"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16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一、2025年上半年投资策略与运作回顾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2025年上半年，债券市场主要受到资金面和事件冲击影响，告别2024年末的单边下行趋势，总体呈现宽幅震荡格局。回顾上半年的债市，大致可以分为三个阶段：</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兴银理财稳添利陆盈ESG201号(6个月最短持有期)日开固收类理财产品2025年第二季度报告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9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ascii="宋体" w:hAnsi="宋体" w:eastAsia="宋体" w:cs="宋体"/>
                <w:color w:val="000000"/>
                <w:sz w:val="21"/>
              </w:rPr>
              <w:br w:type="textWrapping"/>
            </w:r>
            <w:r>
              <w:rPr>
                <w:rFonts w:ascii="宋体" w:hAnsi="宋体" w:eastAsia="宋体" w:cs="宋体"/>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ascii="宋体" w:hAnsi="宋体" w:eastAsia="宋体" w:cs="宋体"/>
                <w:color w:val="000000"/>
                <w:sz w:val="21"/>
              </w:rPr>
              <w:br w:type="textWrapping"/>
            </w:r>
            <w:r>
              <w:rPr>
                <w:rFonts w:ascii="宋体" w:hAnsi="宋体" w:eastAsia="宋体" w:cs="宋体"/>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ascii="宋体" w:hAnsi="宋体" w:eastAsia="宋体" w:cs="宋体"/>
                <w:color w:val="000000"/>
                <w:sz w:val="21"/>
              </w:rPr>
              <w:br w:type="textWrapping"/>
            </w:r>
            <w:r>
              <w:rPr>
                <w:rFonts w:ascii="宋体" w:hAnsi="宋体" w:eastAsia="宋体" w:cs="宋体"/>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ascii="宋体" w:hAnsi="宋体" w:eastAsia="宋体" w:cs="宋体"/>
                <w:color w:val="000000"/>
                <w:sz w:val="21"/>
              </w:rPr>
              <w:br w:type="textWrapping"/>
            </w:r>
            <w:r>
              <w:rPr>
                <w:rFonts w:ascii="宋体" w:hAnsi="宋体" w:eastAsia="宋体" w:cs="宋体"/>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 xml:space="preserve">    二、2025年三季度投资策略展望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ascii="宋体" w:hAnsi="宋体" w:eastAsia="宋体" w:cs="宋体"/>
                <w:color w:val="000000"/>
                <w:sz w:val="21"/>
              </w:rPr>
              <w:br w:type="textWrapping"/>
            </w:r>
            <w:r>
              <w:rPr>
                <w:rFonts w:ascii="宋体" w:hAnsi="宋体" w:eastAsia="宋体" w:cs="宋体"/>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3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兴银理财稳添利陆盈ESG201号(6个月最短持有期)日开固收类理财产品2025年第二季度报告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0.26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55.94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8.39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0.20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33.89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66.77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428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资产规模（元）</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25深圳前海微众银行CD032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119,797,831.30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兴业信托·兴享稳鑫21号集合资金信托计划持有定期存款(11DP251231)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110,965,723.31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25福建海峡银行CD084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98,542,775.34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23建行二级资本债03A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80,052,546.58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兴业存放（线上）20250427001-20260427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61,380,741.45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兴业信托·兴享稳鑫21号集合资金信托计划持有定期存款(11DP251462)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60,803,136.06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兴银理财稳添利陆盈ESG201号(6个月最短持有期)日开固收类理财产品2025年第二季度报告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4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兴业信托·兴享稳鑫21号集合资金信托计划持有定期存款(11DP251477)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60,803,136.06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江苏信托-兴盛安泰2号集合资金信托计划持有定期存款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58,050,011.43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25华港01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50,727,195.89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21空港兴城MTN001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50,686,596.58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25三门峡CP001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23滨湖建设MTN001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24无锡产发PPN002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24泉州台集MTN002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24滨江城建PPN002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25武夷投资MTN002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25甘肃机场SCP001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58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兴业信托·兴享稳鑫3号集合资金信托计划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0.0559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兴业信托·兴享稳鑫32号集合资金信托计划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0.0115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兴业信托·兴享稳鑫28号集合资金信托计划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0.0058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兴业国际信托有限公司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8" w:name="JR_PAGE_ANCHOR_0_9"/>
            <w:bookmarkEnd w:id="8"/>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兴银理财稳添利陆盈ESG201号(6个月最短持有期)日开固收类理财产品2025年第二季度报告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3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兴业信托·兴享稳鑫21号集合资金信托计划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0.4311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兴业信托·兴享稳鑫22号集合资金信托计划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0.0400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兴银理财稳添利陆盈ESG201号(6个月最短持有期)日开固收类理财产品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9.5900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兴业信托·兴享稳鑫11号集合资金信托计划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0.0246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兴业信托·兴享稳鑫13号集合资金信托计划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兴业国际信托有限公司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051010100102048528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兴银理财稳添利陆盈ESG201号(6个月最短持有期)日开固收类理财产品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2025年7月21日</w:t>
            </w:r>
          </w:p>
        </w:tc>
        <w:tc>
          <w:tcPr>
            <w:gridSpan w:val="4"/>
          </w:tcPr>
          <w:p>
            <w:pPr>
              <w:pStyle w:val="4"/>
            </w:pPr>
          </w:p>
        </w:tc>
        <w:tc>
          <w:p>
            <w:pPr>
              <w:pStyle w:val="4"/>
            </w:pPr>
          </w:p>
        </w:tc>
      </w:tr>
      <w:tr>
        <w:tblPrEx>
          <w:tblCellMar>
            <w:top w:w="0" w:type="dxa"/>
            <w:left w:w="10" w:type="dxa"/>
            <w:bottom w:w="0" w:type="dxa"/>
            <w:right w:w="10" w:type="dxa"/>
          </w:tblCellMar>
        </w:tblPrEx>
        <w:trPr>
          <w:trHeight w:val="583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9/</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06151972"/>
    <w:rsid w:val="520D39F4"/>
    <w:rsid w:val="5FDA54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2025-07-12T11:11:42Z</dcterms:created>
  <dc:creator>wangdi6</dc:creator>
  <cp:lastModifiedBy>wangdi6</cp:lastModifiedBy>
  <dcterms:modified xsi:type="dcterms:W3CDTF">2025-07-12T11:13:49Z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