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兴业银行现金宝（1号）人民币理财计划2025年第二季度报告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兴业银行现金宝（1号）人民币理财计划</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兴业银行现金宝（1号）人民币理财计划2025年第二季度报告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兴业银行现金宝（1号）人民币理财计划2025年第二季度报告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兴业银行现金宝（1号）人民币理财计划</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07010011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Z7002021000253</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19,493,084,874.2份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现金宝1号</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07010011（适用【A】份额）</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10,278,971,389.31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现金宝1号B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0701001B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8,969,443,543.15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现金宝1号C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0701001C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197,920,037.61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现金宝1号T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0701001T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46,749,904.13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兴业银行现金宝（1号）人民币理财计划2025年第二季度报告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07010011（适用【A】份额）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0701001B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0701001C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0701001T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4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业绩比较基准（07010011（适用【A】份额））：人民银行7天通知存款利率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业绩比较基准（0701001B）：人民银行7天通知存款利率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业绩比较基准（0701001C）：人民银行7天通知存款利率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业绩比较基准（0701001T）：人民银行7天通知存款利率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（2）兴业银行现金宝（1号）人民币理财计划成立于2010年10月20日，数据截止至2025年06月30日。过往业绩是由兴银理财有限责任公司计算并确认后所提供的数据。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07010011</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0.4491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19,493,084,874.20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07010011（适用【A】份额）</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10,278,971,389.31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0701001B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0.4915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8,969,443,543.15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0701001C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197,920,037.61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0701001T</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0.4811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46,749,904.13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5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兴业银行现金宝（1号）人民币理财计划2025年第二季度报告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420" w:firstLineChars="200"/>
              <w:jc w:val="left"/>
              <w:rPr>
                <w:rFonts w:hint="eastAsia" w:ascii="微软雅黑" w:hAnsi="微软雅黑" w:eastAsia="微软雅黑" w:cs="微软雅黑"/>
              </w:rPr>
            </w:pPr>
            <w:r>
              <w:rPr>
                <w:rFonts w:hint="eastAsia" w:ascii="微软雅黑" w:hAnsi="微软雅黑" w:eastAsia="微软雅黑" w:cs="微软雅黑"/>
                <w:color w:val="000000"/>
                <w:sz w:val="21"/>
              </w:rPr>
              <w:t>陈施颖女士，清华大学理学学士、金融学硕士，中级经济师，10年固定收益市场投资交易经验。2013年加入兴业银行、2020年加入兴银理财，历任货币市场交易员、债券投资经理、理财产品组合投资经理，现任现金管理部投资经理、总经理助理，管理产品规模超过2000亿，善于大组合的资产配置和流动性管理，在管产品包括“兴银理财添利日日新3号”“兴业银行金雪球添利快线净值型理财产品”等。</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bookmarkStart w:id="8" w:name="_GoBack"/>
            <w:r>
              <w:rPr>
                <w:rFonts w:hint="eastAsia" w:ascii="微软雅黑" w:hAnsi="微软雅黑" w:eastAsia="微软雅黑" w:cs="微软雅黑"/>
                <w:color w:val="000000"/>
                <w:sz w:val="21"/>
              </w:rPr>
              <w:t xml:space="preserve">    </w:t>
            </w:r>
            <w:bookmarkEnd w:id="8"/>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2025年二季度，债市聚焦中美关税博弈与财政货币政策应对，整体呈现小幅下行，波动区间较1季度收窄。4月初，“对等关税”政策落地后，中美关税博弈升级，避险情绪及宽货币预期催化下10Y国债收益直线下行近20BP，1Y同业存单从1.82%下行至1.65%附近，债市步入牛市行情。5月降准降息落地叠加中美谈判取得阶段性缓和，市场转而交易“宽松利多出尽”逻辑，下旬大行存款利率调降引发银行负债流失担忧，10年国债回调至1.73%，后受关税反复影响回到1.68%，1Y同业存单反弹至1.7%。6月同业存单到期规模4.2万亿，央行通过前置操作买断式逆回购等方式积极投放呵护银行体系流动性。资金宽松下债市定价区间整体下移，10Y国债收益率围绕1.65%中枢盘整，曲线走陡。交易强化下信用利差和期限利差相应压缩。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报告期内，本产品始终将保持流动性安全和防范各类风险作为第一要务，在此基础上通过稳健的投资风格实现相对稳定的收益。基于对货币宽松和关税冲突的预期，考虑资金资产比价，我们整体上认为二季度短端各类资产处于配置区间。具体操作上，对同业存单、信用债、ABS和存放同业等各品种持续保持积极建仓、配置盘为主保证静态收益，组合整体维持偏积极的久期、动态调整保持利率弹性，具备套息空间时运用杠杆策略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3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兴业银行现金宝（1号）人民币理财计划2025年第二季度报告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农业银行横琴粤澳深度合作区分行活期存款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1,085,363,830.65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Z存放同业（线上）20250327011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1,005,306,666.78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Z存放同业（线上）20241226002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771,177,132.93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工商银行福州分行活期存款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730,177,345.28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Z存放同业（线上）20241205005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505,142,221.76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Z存放同业（线上）20250108013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504,059,999.42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Z存放同业（线上）20250627001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500,094,444.44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建设银行深圳市分行活期存款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500,020,833.85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兴业银行现金宝（1号）人民币理财计划2025年第二季度报告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Z存放同业（线上）20241210023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404,105,110.66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25北京银行CD041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394,327,647.03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23豫交投MTN008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22贵州高速MTN003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24湖南财信SCP002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24邦鑫ABN004优先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兴业银行现金宝（1号）人民币理财计划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399.5720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兴业银行现金宝（1号）人民币理财计划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5.5748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债券质押式正回购</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正回购</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兴业银行现金宝（1号）人民币理财计划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109.2880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2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兴业银行现金宝（1号）人民币理财计划2025年第二季度报告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051010100100004465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兴业银行股份有限公司理财产品托管专户</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2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gridCol w:w="800"/>
              <w:gridCol w:w="2400"/>
              <w:gridCol w:w="1600"/>
              <w:gridCol w:w="1600"/>
              <w:gridCol w:w="1200"/>
              <w:gridCol w:w="1400"/>
              <w:gridCol w:w="1200"/>
            </w:tblGrid>
            <w:tr>
              <w:tblPrEx>
                <w:tblCellMar>
                  <w:top w:w="0" w:type="dxa"/>
                  <w:left w:w="10" w:type="dxa"/>
                  <w:bottom w:w="0" w:type="dxa"/>
                  <w:right w:w="10" w:type="dxa"/>
                </w:tblCellMar>
              </w:tblPrEx>
              <w:trPr>
                <w:trHeight w:val="600" w:hRule="exact"/>
              </w:trPr>
              <w:tc>
                <w:tcPr>
                  <w:vMerge w:val="restart"/>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1200" w:hRule="atLeast"/>
                    </w:trPr>
                    <w:tc>
                      <w:tcPr>
                        <w:tcBorders>
                          <w:top w:val="single" w:color="000000" w:sz="4" w:space="0"/>
                          <w:left w:val="single" w:color="000000" w:sz="4" w:space="0"/>
                          <w:right w:val="single" w:color="000000" w:sz="4" w:space="0"/>
                        </w:tcBorders>
                        <w:tcMar>
                          <w:top w:w="0" w:type="dxa"/>
                          <w:left w:w="2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投资者类别</w:t>
                        </w:r>
                      </w:p>
                    </w:tc>
                  </w:tr>
                </w:tbl>
                <w:p>
                  <w:pPr>
                    <w:pStyle w:val="4"/>
                    <w:rPr>
                      <w:rFonts w:hint="eastAsia" w:ascii="微软雅黑" w:hAnsi="微软雅黑" w:eastAsia="微软雅黑" w:cs="微软雅黑"/>
                    </w:rPr>
                  </w:pPr>
                </w:p>
              </w:tc>
              <w:tc>
                <w:tcPr>
                  <w:gridSpan w:val="5"/>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7600"/>
                  </w:tblGrid>
                  <w:tr>
                    <w:tblPrEx>
                      <w:tblCellMar>
                        <w:top w:w="0" w:type="dxa"/>
                        <w:left w:w="10" w:type="dxa"/>
                        <w:bottom w:w="0" w:type="dxa"/>
                        <w:right w:w="10" w:type="dxa"/>
                      </w:tblCellMar>
                    </w:tblPrEx>
                    <w:trPr>
                      <w:trHeight w:val="600" w:hRule="atLeast"/>
                    </w:trPr>
                    <w:tc>
                      <w:tcPr>
                        <w:tcBorders>
                          <w:top w:val="single" w:color="000000"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报告期内持有产品份额变化情况</w:t>
                        </w:r>
                      </w:p>
                    </w:tc>
                  </w:tr>
                </w:tbl>
                <w:p>
                  <w:pPr>
                    <w:pStyle w:val="4"/>
                    <w:rPr>
                      <w:rFonts w:hint="eastAsia" w:ascii="微软雅黑" w:hAnsi="微软雅黑" w:eastAsia="微软雅黑" w:cs="微软雅黑"/>
                    </w:rPr>
                  </w:pPr>
                </w:p>
              </w:tc>
              <w:tc>
                <w:tcPr>
                  <w:gridSpan w:val="2"/>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报告期末持有份额情况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vMerge w:val="continue"/>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持有份额比例达到或者超过20%的时间区间</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期初份额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申购份额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赎回份额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持有份额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份额占比（%）</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Borders>
                          <w:left w:val="single" w:color="000000" w:sz="4" w:space="0"/>
                        </w:tcBorders>
                        <w:tcMar>
                          <w:top w:w="0" w:type="dxa"/>
                          <w:left w:w="2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机构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20250509-20250603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3,838,519,008.06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3,838,519,008.06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Borders>
                          <w:top w:val="single" w:color="000000" w:sz="8" w:space="0"/>
                          <w:left w:val="single" w:color="000000" w:sz="4" w:space="0"/>
                          <w:bottom w:val="single" w:color="000000" w:sz="4" w:space="0"/>
                        </w:tcBorders>
                        <w:tcMar>
                          <w:top w:w="0" w:type="dxa"/>
                          <w:left w:w="2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产品特有风险</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1800" w:hRule="atLeast"/>
                    </w:trPr>
                    <w:tc>
                      <w:tcPr>
                        <w:tcBorders>
                          <w:left w:val="single" w:color="000000" w:sz="8" w:space="0"/>
                          <w:bottom w:val="single" w:color="000000" w:sz="8" w:space="0"/>
                        </w:tcBorders>
                        <w:tcMar>
                          <w:top w:w="0" w:type="dxa"/>
                          <w:left w:w="2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本产品在报告期内存在单一投资者持有理财份额比例达到或者超过产品总份额20%的情形，在市场流动性不足的情况下，如遇投资者巨额赎回或集中赎回，管理人可能无法以合理的价格及时变现理财资产，有可能对理财产品收益产生一定的影响，甚至可能引发理财的流动性风险。</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1C1C304B"/>
    <w:rsid w:val="2A8F2DB4"/>
    <w:rsid w:val="5F66333D"/>
    <w:rsid w:val="7419561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2025-07-11T15:31:00Z</dcterms:created>
  <dc:creator>cuiyufeng</dc:creator>
  <cp:lastModifiedBy>cuiyufeng</cp:lastModifiedBy>
  <dcterms:modified xsi:type="dcterms:W3CDTF">2025-07-12T06:08:01Z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