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0E1E5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嘉银2520期理财产品</w: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ascii="宋体" w:hAnsi="宋体"/>
          <w:b/>
          <w:sz w:val="32"/>
          <w:szCs w:val="32"/>
        </w:rPr>
        <w:t>年第2季度</w:t>
      </w:r>
    </w:p>
    <w:p w14:paraId="0FD5EE03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t>暨半年度</w:t>
      </w:r>
      <w:r>
        <w:rPr>
          <w:rFonts w:ascii="宋体" w:hAnsi="宋体"/>
          <w:b/>
          <w:sz w:val="32"/>
          <w:szCs w:val="32"/>
        </w:rPr>
        <w:t>报告</w:t>
      </w:r>
    </w:p>
    <w:p w14:paraId="7DA30E8A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47B1CD7B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6FF1C883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产品基本情况</w:t>
      </w:r>
    </w:p>
    <w:tbl>
      <w:tblPr>
        <w:tblStyle w:val="7"/>
        <w:tblW w:w="840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4095"/>
      </w:tblGrid>
      <w:tr w14:paraId="1A02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EA1D3">
            <w:pPr>
              <w:widowControl/>
              <w:jc w:val="left"/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40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0C0CE21">
            <w:pPr>
              <w:widowControl/>
              <w:jc w:val="left"/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嘉银2520期理财产品</w:t>
            </w:r>
          </w:p>
        </w:tc>
      </w:tr>
      <w:tr w14:paraId="44CE2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141E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产品代码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E0C6B3B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JYHC2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520</w:t>
            </w:r>
          </w:p>
        </w:tc>
      </w:tr>
      <w:tr w14:paraId="695D0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D84FD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全国银行业理财信息登记系统登记编码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87E9E7D">
            <w:pPr>
              <w:widowControl/>
              <w:jc w:val="left"/>
              <w:rPr>
                <w:rFonts w:hint="default" w:ascii="宋体" w:hAnsi="宋体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C1092325000015</w:t>
            </w:r>
          </w:p>
        </w:tc>
      </w:tr>
      <w:tr w14:paraId="32472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CC9AA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产品运作方式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D273AB0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封闭式净值型</w:t>
            </w:r>
          </w:p>
        </w:tc>
      </w:tr>
      <w:tr w14:paraId="708FB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DD935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报告期末产品份额总额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AA85306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val="en-US" w:eastAsia="zh-CN"/>
              </w:rPr>
              <w:t>28,587,000.00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份</w:t>
            </w:r>
          </w:p>
        </w:tc>
      </w:tr>
      <w:tr w14:paraId="625D3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A859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产品类型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8381042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固定收益类</w:t>
            </w:r>
          </w:p>
        </w:tc>
      </w:tr>
      <w:tr w14:paraId="3B5BD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48543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  <w:lang w:val="en-US" w:eastAsia="zh-CN"/>
              </w:rPr>
              <w:t>报告期末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业绩比较基准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25A3CD14"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2.20%-2.70%</w:t>
            </w:r>
          </w:p>
        </w:tc>
      </w:tr>
      <w:tr w14:paraId="26B26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2DA80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管理人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F582070">
            <w:pPr>
              <w:pStyle w:val="6"/>
              <w:widowControl/>
              <w:spacing w:before="0" w:beforeAutospacing="0" w:after="0" w:afterAutospacing="0"/>
              <w:rPr>
                <w:rFonts w:ascii="宋体" w:hAnsi="宋体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  <w:t>嘉兴银行股份有限公司</w:t>
            </w:r>
          </w:p>
        </w:tc>
      </w:tr>
      <w:tr w14:paraId="2EDCB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3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DBA02F">
            <w:pPr>
              <w:widowControl/>
              <w:jc w:val="left"/>
              <w:rPr>
                <w:rFonts w:ascii="宋体" w:hAnsi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2"/>
              </w:rPr>
              <w:t>托管人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C33BBC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宁波银行股份有限公司</w:t>
            </w:r>
          </w:p>
        </w:tc>
      </w:tr>
    </w:tbl>
    <w:p w14:paraId="29C684AF">
      <w:pPr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</w:t>
      </w:r>
    </w:p>
    <w:p w14:paraId="5CA1B6F5">
      <w:pPr>
        <w:pStyle w:val="11"/>
        <w:ind w:firstLine="0"/>
        <w:jc w:val="left"/>
        <w:rPr>
          <w:rFonts w:ascii="宋体" w:hAnsi="宋体"/>
          <w:b/>
          <w:bCs/>
          <w:sz w:val="30"/>
          <w:szCs w:val="30"/>
        </w:rPr>
      </w:pPr>
    </w:p>
    <w:p w14:paraId="20E1130C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产品收益/净值表现</w:t>
      </w:r>
    </w:p>
    <w:p w14:paraId="446A8789">
      <w:pPr>
        <w:ind w:firstLine="440"/>
        <w:jc w:val="left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报告期末，产品净值表现如下：</w:t>
      </w:r>
    </w:p>
    <w:tbl>
      <w:tblPr>
        <w:tblStyle w:val="7"/>
        <w:tblW w:w="8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2145"/>
        <w:gridCol w:w="2145"/>
        <w:gridCol w:w="2415"/>
      </w:tblGrid>
      <w:tr w14:paraId="2D47B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0E29418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报告时点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FA7827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产品份额净值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6A1A3750">
            <w:pPr>
              <w:ind w:left="30" w:right="3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  <w:lang w:val="en-US" w:eastAsia="zh-CN"/>
              </w:rPr>
              <w:t>份额累计净值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FAE6F4E">
            <w:pPr>
              <w:ind w:left="30"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szCs w:val="22"/>
              </w:rPr>
              <w:t>产品资产净值</w:t>
            </w:r>
          </w:p>
        </w:tc>
      </w:tr>
      <w:tr w14:paraId="78E10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8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4D777E7D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06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/3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noWrap/>
            <w:vAlign w:val="center"/>
          </w:tcPr>
          <w:p w14:paraId="78294B24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1.0096</w:t>
            </w:r>
          </w:p>
        </w:tc>
        <w:tc>
          <w:tcPr>
            <w:tcW w:w="21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B3B76BA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1.0096</w:t>
            </w:r>
          </w:p>
        </w:tc>
        <w:tc>
          <w:tcPr>
            <w:tcW w:w="24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9B684C7">
            <w:pPr>
              <w:ind w:right="3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28,864,262.08</w:t>
            </w:r>
          </w:p>
        </w:tc>
      </w:tr>
    </w:tbl>
    <w:p w14:paraId="3956EE8B">
      <w:pPr>
        <w:ind w:firstLine="440"/>
        <w:jc w:val="center"/>
        <w:rPr>
          <w:rFonts w:ascii="宋体" w:hAnsi="宋体"/>
          <w:sz w:val="22"/>
        </w:rPr>
      </w:pPr>
    </w:p>
    <w:p w14:paraId="0996A480">
      <w:pPr>
        <w:ind w:firstLine="440"/>
        <w:jc w:val="center"/>
        <w:rPr>
          <w:rFonts w:ascii="宋体" w:hAnsi="宋体"/>
          <w:sz w:val="22"/>
        </w:rPr>
      </w:pPr>
    </w:p>
    <w:p w14:paraId="516A6216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0"/>
          <w:szCs w:val="30"/>
        </w:rPr>
        <w:t>投资组合报告</w:t>
      </w:r>
    </w:p>
    <w:p w14:paraId="4ABF4401">
      <w:pPr>
        <w:pStyle w:val="11"/>
        <w:ind w:firstLine="440"/>
        <w:jc w:val="left"/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报告期内，</w:t>
      </w:r>
      <w:r>
        <w:rPr>
          <w:rStyle w:val="14"/>
          <w:rFonts w:hint="eastAsia"/>
          <w:color w:val="000000" w:themeColor="text1"/>
        </w:rPr>
        <w:t>本产品未进行收益分配，</w:t>
      </w:r>
      <w:r>
        <w:rPr>
          <w:rFonts w:hint="eastAsia" w:ascii="宋体" w:hAnsi="宋体"/>
          <w:sz w:val="22"/>
          <w:szCs w:val="22"/>
        </w:rPr>
        <w:t>本产品穿透前持仓以固定收益类资管计划为主，穿透后持仓以债券类资产为主，杠杆率</w:t>
      </w:r>
      <w:r>
        <w:rPr>
          <w:rFonts w:hint="eastAsia" w:ascii="宋体" w:hAnsi="宋体" w:cs="Times New Roman"/>
          <w:kern w:val="2"/>
          <w:sz w:val="22"/>
          <w:szCs w:val="22"/>
          <w:lang w:val="en-US" w:eastAsia="zh-CN" w:bidi="ar-SA"/>
        </w:rPr>
        <w:t>100.1839%</w:t>
      </w:r>
      <w:r>
        <w:rPr>
          <w:rFonts w:hint="eastAsia" w:ascii="宋体" w:hAnsi="宋体"/>
          <w:sz w:val="22"/>
          <w:szCs w:val="22"/>
        </w:rPr>
        <w:t>，流动性较好，流动风险较低。</w:t>
      </w:r>
    </w:p>
    <w:p w14:paraId="60BBF032">
      <w:pPr>
        <w:pStyle w:val="2"/>
        <w:numPr>
          <w:ilvl w:val="0"/>
          <w:numId w:val="2"/>
        </w:numPr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报告期末产品资产组合情况</w:t>
      </w:r>
    </w:p>
    <w:tbl>
      <w:tblPr>
        <w:tblStyle w:val="7"/>
        <w:tblW w:w="8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125"/>
      </w:tblGrid>
      <w:tr w14:paraId="0DCF1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6DD7DE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资产类型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B527FF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占总资产比例</w:t>
            </w:r>
          </w:p>
        </w:tc>
      </w:tr>
      <w:tr w14:paraId="3BA6E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36FF92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固定收益类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C8F06E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  <w:tr w14:paraId="14D8D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6711B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权益类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364EB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1B969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F1287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商品及金融衍生品类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E2E99F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0F319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F8B13A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混合类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4C38BB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0.00%</w:t>
            </w:r>
          </w:p>
        </w:tc>
      </w:tr>
      <w:tr w14:paraId="4B423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9C3CE8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合计</w:t>
            </w:r>
          </w:p>
        </w:tc>
        <w:tc>
          <w:tcPr>
            <w:tcW w:w="4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94A51EC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100.00%</w:t>
            </w:r>
          </w:p>
        </w:tc>
      </w:tr>
    </w:tbl>
    <w:p w14:paraId="44E144FC">
      <w:pPr>
        <w:rPr>
          <w:rFonts w:ascii="宋体" w:hAnsi="宋体"/>
          <w:b/>
          <w:bCs/>
          <w:sz w:val="22"/>
        </w:rPr>
      </w:pPr>
    </w:p>
    <w:p w14:paraId="528BF66C">
      <w:pPr>
        <w:rPr>
          <w:rFonts w:ascii="宋体" w:hAnsi="宋体"/>
          <w:b/>
          <w:bCs/>
          <w:sz w:val="22"/>
        </w:rPr>
      </w:pPr>
    </w:p>
    <w:p w14:paraId="01ADCBDC">
      <w:pPr>
        <w:pStyle w:val="2"/>
        <w:spacing w:before="0" w:after="0"/>
        <w:jc w:val="left"/>
        <w:rPr>
          <w:rFonts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</w:rPr>
        <w:t>2.报告期末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穿透前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50"/>
        <w:gridCol w:w="2985"/>
        <w:gridCol w:w="2190"/>
        <w:gridCol w:w="1350"/>
      </w:tblGrid>
      <w:tr w14:paraId="7ED51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45F3F25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C869270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98E12A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FBE5F39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8D186A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3D40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DAF9AB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7EEB36F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信托计划</w:t>
            </w:r>
          </w:p>
        </w:tc>
        <w:tc>
          <w:tcPr>
            <w:tcW w:w="2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336B31">
            <w:pPr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华润信托尊盈1号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2041D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28,917,345.83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top"/>
          </w:tcPr>
          <w:p w14:paraId="664FE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</w:tr>
    </w:tbl>
    <w:p w14:paraId="266C6459">
      <w:pPr>
        <w:pStyle w:val="2"/>
        <w:spacing w:before="0" w:after="0"/>
        <w:jc w:val="left"/>
        <w:rPr>
          <w:rFonts w:hint="eastAsia" w:ascii="宋体" w:hAnsi="宋体"/>
          <w:b w:val="0"/>
          <w:bCs w:val="0"/>
          <w:sz w:val="22"/>
          <w:szCs w:val="22"/>
        </w:rPr>
      </w:pP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3</w:t>
      </w:r>
      <w:r>
        <w:rPr>
          <w:rFonts w:hint="eastAsia" w:ascii="宋体" w:hAnsi="宋体"/>
          <w:b w:val="0"/>
          <w:bCs w:val="0"/>
          <w:sz w:val="22"/>
          <w:szCs w:val="22"/>
        </w:rPr>
        <w:t>.报告期末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穿透后</w:t>
      </w:r>
      <w:r>
        <w:rPr>
          <w:rFonts w:hint="eastAsia" w:ascii="宋体" w:hAnsi="宋体"/>
          <w:b w:val="0"/>
          <w:bCs w:val="0"/>
          <w:sz w:val="22"/>
          <w:szCs w:val="22"/>
        </w:rPr>
        <w:t>资产持仓前十基本信息</w:t>
      </w:r>
      <w:r>
        <w:rPr>
          <w:rFonts w:hint="eastAsia" w:ascii="宋体" w:hAnsi="宋体"/>
          <w:b w:val="0"/>
          <w:bCs w:val="0"/>
          <w:sz w:val="22"/>
          <w:szCs w:val="22"/>
          <w:lang w:val="en-US" w:eastAsia="zh-CN"/>
        </w:rPr>
        <w:t>（不含现金及买入返售）</w:t>
      </w:r>
    </w:p>
    <w:tbl>
      <w:tblPr>
        <w:tblStyle w:val="7"/>
        <w:tblW w:w="86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5"/>
        <w:gridCol w:w="2970"/>
        <w:gridCol w:w="2250"/>
        <w:gridCol w:w="1335"/>
      </w:tblGrid>
      <w:tr w14:paraId="61576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451241B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A7E52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资产种类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F1E7371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资产名称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63A5016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资产规模(元)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A5A6FD">
            <w:pPr>
              <w:jc w:val="center"/>
            </w:pPr>
            <w:r>
              <w:rPr>
                <w:rFonts w:ascii="宋体" w:hAnsi="宋体" w:eastAsia="宋体" w:cs="宋体"/>
                <w:b/>
                <w:i w:val="0"/>
                <w:strike w:val="0"/>
                <w:color w:val="000000"/>
                <w:sz w:val="22"/>
                <w:u w:val="none"/>
              </w:rPr>
              <w:t>资产比例</w:t>
            </w:r>
          </w:p>
        </w:tc>
      </w:tr>
      <w:tr w14:paraId="26CB2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38EA8E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5650C3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22A9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24浔开04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D4F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2,083,116.94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6743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7.19%</w:t>
            </w:r>
          </w:p>
        </w:tc>
      </w:tr>
      <w:tr w14:paraId="5128F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BA37E8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A19153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641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23柯资06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D252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2,070,704.98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2F97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7.15%</w:t>
            </w:r>
          </w:p>
        </w:tc>
      </w:tr>
      <w:tr w14:paraId="66D6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A71458B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AF4B76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94E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24上合02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0701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2,053,740.09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E67A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7.09%</w:t>
            </w:r>
          </w:p>
        </w:tc>
      </w:tr>
      <w:tr w14:paraId="1BCD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681707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BF91055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6A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24上投02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A58E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2,006,944.19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177B9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6.93%</w:t>
            </w:r>
          </w:p>
        </w:tc>
      </w:tr>
      <w:tr w14:paraId="556DC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2F332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5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908E19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3C57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23浙南01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8D5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1,965,774.14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CD8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6.79%</w:t>
            </w:r>
          </w:p>
        </w:tc>
      </w:tr>
      <w:tr w14:paraId="5403C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7F5C55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6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8CD13E9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A638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9887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1,959,977.78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CB8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6.77%</w:t>
            </w:r>
          </w:p>
        </w:tc>
      </w:tr>
      <w:tr w14:paraId="27B9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1BC6002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7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4A6780A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5B868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24浙太02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80C4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1,747,937.62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448AD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6.04%</w:t>
            </w:r>
          </w:p>
        </w:tc>
      </w:tr>
      <w:tr w14:paraId="3B2C8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B6C94E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8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64842026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345DB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24宁高02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EF4B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1,745,443.12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0A28F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6.03%</w:t>
            </w:r>
          </w:p>
        </w:tc>
      </w:tr>
      <w:tr w14:paraId="513F3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111329D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9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448F574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4B021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24迪投03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1F7F6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1,739,355.53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58C57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6.01%</w:t>
            </w:r>
          </w:p>
        </w:tc>
      </w:tr>
      <w:tr w14:paraId="1FE51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D3DF80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10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228BAA75">
            <w:pPr>
              <w:jc w:val="center"/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  <w:u w:val="none"/>
              </w:rPr>
              <w:t>公司债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7153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21东泰02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center"/>
          </w:tcPr>
          <w:p w14:paraId="0D040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1,722,072.53 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80" w:type="dxa"/>
              <w:right w:w="80" w:type="dxa"/>
            </w:tcMar>
            <w:vAlign w:val="bottom"/>
          </w:tcPr>
          <w:p w14:paraId="62F82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5.95%</w:t>
            </w:r>
          </w:p>
        </w:tc>
      </w:tr>
    </w:tbl>
    <w:p w14:paraId="74901CB8"/>
    <w:p w14:paraId="48EE520A">
      <w:pPr>
        <w:pStyle w:val="11"/>
        <w:ind w:firstLine="0"/>
        <w:jc w:val="left"/>
        <w:rPr>
          <w:rFonts w:ascii="宋体" w:hAnsi="宋体"/>
          <w:b/>
          <w:bCs/>
          <w:sz w:val="22"/>
          <w:szCs w:val="21"/>
        </w:rPr>
      </w:pPr>
    </w:p>
    <w:p w14:paraId="4189BB38">
      <w:pPr>
        <w:pStyle w:val="11"/>
        <w:ind w:firstLine="0"/>
        <w:jc w:val="left"/>
        <w:rPr>
          <w:rFonts w:ascii="宋体" w:hAnsi="宋体"/>
          <w:b/>
          <w:bCs/>
          <w:sz w:val="22"/>
          <w:szCs w:val="22"/>
        </w:rPr>
      </w:pPr>
    </w:p>
    <w:p w14:paraId="3ABBDF01">
      <w:pPr>
        <w:pStyle w:val="11"/>
        <w:numPr>
          <w:ilvl w:val="0"/>
          <w:numId w:val="1"/>
        </w:num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投资账户信息</w:t>
      </w:r>
    </w:p>
    <w:tbl>
      <w:tblPr>
        <w:tblStyle w:val="7"/>
        <w:tblW w:w="85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107"/>
      </w:tblGrid>
      <w:tr w14:paraId="0753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673A64C8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交易场所</w:t>
            </w:r>
          </w:p>
        </w:tc>
        <w:tc>
          <w:tcPr>
            <w:tcW w:w="2397" w:type="pct"/>
            <w:vAlign w:val="top"/>
          </w:tcPr>
          <w:p w14:paraId="7DF129BD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账号</w:t>
            </w:r>
          </w:p>
        </w:tc>
      </w:tr>
      <w:tr w14:paraId="5D108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E7B3C33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银行间市场清算所账号</w:t>
            </w:r>
          </w:p>
        </w:tc>
        <w:tc>
          <w:tcPr>
            <w:tcW w:w="2397" w:type="pct"/>
            <w:vAlign w:val="top"/>
          </w:tcPr>
          <w:p w14:paraId="300C09CA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B2253782</w:t>
            </w:r>
          </w:p>
        </w:tc>
      </w:tr>
      <w:tr w14:paraId="7D228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09952F2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中央结算公司账号</w:t>
            </w:r>
          </w:p>
        </w:tc>
        <w:tc>
          <w:tcPr>
            <w:tcW w:w="2397" w:type="pct"/>
            <w:vAlign w:val="top"/>
          </w:tcPr>
          <w:p w14:paraId="708C586E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00000039133</w:t>
            </w:r>
          </w:p>
        </w:tc>
      </w:tr>
      <w:tr w14:paraId="0CC20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4713DC3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上海证券交易所账号</w:t>
            </w:r>
          </w:p>
        </w:tc>
        <w:tc>
          <w:tcPr>
            <w:tcW w:w="2397" w:type="pct"/>
            <w:vAlign w:val="top"/>
          </w:tcPr>
          <w:p w14:paraId="0A06E9C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B884335189</w:t>
            </w:r>
          </w:p>
        </w:tc>
      </w:tr>
      <w:tr w14:paraId="320DE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2" w:type="pct"/>
            <w:vAlign w:val="top"/>
          </w:tcPr>
          <w:p w14:paraId="24BE939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2"/>
              </w:rPr>
              <w:t>深圳证券交易所账号</w:t>
            </w:r>
          </w:p>
        </w:tc>
        <w:tc>
          <w:tcPr>
            <w:tcW w:w="2397" w:type="pct"/>
            <w:vAlign w:val="top"/>
          </w:tcPr>
          <w:p w14:paraId="473B9604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2"/>
              </w:rPr>
              <w:t>0899221276</w:t>
            </w:r>
          </w:p>
        </w:tc>
      </w:tr>
    </w:tbl>
    <w:p w14:paraId="0796C062"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18"/>
          <w:szCs w:val="18"/>
        </w:rPr>
        <w:t>注：理财产品托管人宁波银行股份有限公司根据托管协议规定，复核了本报告中的财务指标、净值表现和资产组合报告等内容，保证复核内容不存在虚假记载、误导性陈述。</w:t>
      </w:r>
    </w:p>
    <w:p w14:paraId="081A0CF6">
      <w:pPr>
        <w:jc w:val="center"/>
        <w:rPr>
          <w:rFonts w:hint="eastAsia" w:ascii="宋体" w:hAnsi="宋体" w:eastAsia="宋体"/>
          <w:sz w:val="30"/>
          <w:szCs w:val="30"/>
          <w:lang w:eastAsia="zh-CN"/>
        </w:rPr>
      </w:pPr>
    </w:p>
    <w:p w14:paraId="33142176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0151B437">
      <w:pPr>
        <w:ind w:firstLine="1200" w:firstLineChars="400"/>
        <w:rPr>
          <w:rFonts w:hint="default" w:ascii="宋体" w:hAnsi="宋体" w:eastAsia="宋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/>
          <w:sz w:val="30"/>
          <w:szCs w:val="30"/>
          <w:lang w:val="en-US" w:eastAsia="zh-CN"/>
        </w:rPr>
        <w:object>
          <v:shape id="_x0000_i1025" o:spt="75" type="#_x0000_t75" style="height:40.25pt;width:261.9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Content" ObjectID="_1468075725" r:id="rId4">
            <o:LockedField>false</o:LockedField>
          </o:OLEObject>
        </w:object>
      </w:r>
    </w:p>
    <w:p w14:paraId="12D72E23"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</w:p>
    <w:p w14:paraId="6CB6FF1E">
      <w:pPr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 xml:space="preserve">                                                嘉兴银行股份有限公司</w:t>
      </w:r>
    </w:p>
    <w:p w14:paraId="6EA371CE">
      <w:pPr>
        <w:jc w:val="center"/>
        <w:rPr>
          <w:szCs w:val="21"/>
        </w:rPr>
      </w:pPr>
      <w:r>
        <w:rPr>
          <w:rFonts w:hint="eastAsia" w:ascii="宋体" w:hAnsi="宋体"/>
          <w:sz w:val="22"/>
        </w:rPr>
        <w:t xml:space="preserve">                                                    </w:t>
      </w:r>
      <w:r>
        <w:rPr>
          <w:rFonts w:ascii="宋体" w:hAnsi="宋体"/>
          <w:sz w:val="22"/>
        </w:rPr>
        <w:t>202</w:t>
      </w:r>
      <w:r>
        <w:rPr>
          <w:rFonts w:hint="eastAsia" w:ascii="宋体" w:hAnsi="宋体"/>
          <w:sz w:val="22"/>
          <w:lang w:val="en-US" w:eastAsia="zh-CN"/>
        </w:rPr>
        <w:t>5</w:t>
      </w:r>
      <w:r>
        <w:rPr>
          <w:rFonts w:ascii="宋体" w:hAnsi="宋体"/>
          <w:sz w:val="22"/>
        </w:rPr>
        <w:t>年</w:t>
      </w:r>
      <w:r>
        <w:rPr>
          <w:rFonts w:hint="eastAsia" w:ascii="宋体" w:hAnsi="宋体"/>
          <w:sz w:val="22"/>
          <w:lang w:val="en-US" w:eastAsia="zh-CN"/>
        </w:rPr>
        <w:t>07</w:t>
      </w:r>
      <w:r>
        <w:rPr>
          <w:rFonts w:ascii="宋体" w:hAnsi="宋体"/>
          <w:sz w:val="22"/>
        </w:rPr>
        <w:t>月</w:t>
      </w:r>
      <w:r>
        <w:rPr>
          <w:rFonts w:hint="eastAsia" w:ascii="宋体" w:hAnsi="宋体"/>
          <w:sz w:val="22"/>
          <w:lang w:val="en-US" w:eastAsia="zh-CN"/>
        </w:rPr>
        <w:t>04</w:t>
      </w:r>
      <w:r>
        <w:rPr>
          <w:rFonts w:ascii="宋体" w:hAnsi="宋体"/>
          <w:sz w:val="22"/>
        </w:rPr>
        <w:t>日</w:t>
      </w:r>
    </w:p>
    <w:p w14:paraId="1C261780">
      <w:pPr>
        <w:jc w:val="center"/>
        <w:rPr>
          <w:b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6B2465"/>
    <w:multiLevelType w:val="multilevel"/>
    <w:tmpl w:val="596B246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1B07D7"/>
    <w:multiLevelType w:val="multilevel"/>
    <w:tmpl w:val="741B07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lYTZlOGZlNjgwZTkwOTUzNTM1MTFkZTdkYWMwNGMifQ=="/>
  </w:docVars>
  <w:rsids>
    <w:rsidRoot w:val="00000000"/>
    <w:rsid w:val="041B5353"/>
    <w:rsid w:val="076759F8"/>
    <w:rsid w:val="0C9B76E1"/>
    <w:rsid w:val="101129E5"/>
    <w:rsid w:val="141C40E2"/>
    <w:rsid w:val="1C02280F"/>
    <w:rsid w:val="25E215D9"/>
    <w:rsid w:val="2E8F161E"/>
    <w:rsid w:val="30F51FF0"/>
    <w:rsid w:val="34853B4C"/>
    <w:rsid w:val="385A47D8"/>
    <w:rsid w:val="38777FB2"/>
    <w:rsid w:val="434A36FE"/>
    <w:rsid w:val="4A144A28"/>
    <w:rsid w:val="4BC051DA"/>
    <w:rsid w:val="4E9D358F"/>
    <w:rsid w:val="57BB4FAE"/>
    <w:rsid w:val="5C266694"/>
    <w:rsid w:val="5D9A27F7"/>
    <w:rsid w:val="6232242F"/>
    <w:rsid w:val="69E42B8C"/>
    <w:rsid w:val="6E315BD0"/>
    <w:rsid w:val="75750410"/>
    <w:rsid w:val="7B0D7AB9"/>
    <w:rsid w:val="7B91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autoRedefine/>
    <w:qFormat/>
    <w:uiPriority w:val="99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2 Char"/>
    <w:link w:val="2"/>
    <w:autoRedefine/>
    <w:qFormat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11">
    <w:name w:val="列出段落1"/>
    <w:basedOn w:val="1"/>
    <w:autoRedefine/>
    <w:qFormat/>
    <w:uiPriority w:val="0"/>
    <w:pPr>
      <w:ind w:firstLine="200"/>
    </w:pPr>
    <w:rPr>
      <w:szCs w:val="21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styleId="14">
    <w:name w:val="Placeholder Text"/>
    <w:basedOn w:val="9"/>
    <w:autoRedefine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663</Words>
  <Characters>1008</Characters>
  <Lines>1</Lines>
  <Paragraphs>1</Paragraphs>
  <TotalTime>1</TotalTime>
  <ScaleCrop>false</ScaleCrop>
  <LinksUpToDate>false</LinksUpToDate>
  <CharactersWithSpaces>1122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2023-02-17T07:08:00Z</dcterms:created>
  <dc:creator>luozuobo</dc:creator>
  <cp:lastModifiedBy>裘洁</cp:lastModifiedBy>
  <cp:lastPrinted>2113-01-01T00:00:00Z</cp:lastPrinted>
  <dcterms:modified xsi:type="dcterms:W3CDTF">2025-07-18T00:50:29Z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355F389FD15E4490BE6D94636EE91EBD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eyJoZGlkIjoiNDIwNTM5MjQ4MTBjNmI4MDViZjJkMWFlYzAwNjQ5NWIiLCJ1c2VySWQiOiIxNTI2NDY3MjI3In0=</vt:lpwstr>
  </property>
</Properties>
</file>