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162A6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嘉银年年盈开放式净值型理财产品</w:t>
      </w:r>
      <w:r>
        <w:rPr>
          <w:rFonts w:hint="eastAsia" w:ascii="宋体" w:hAnsi="宋体"/>
          <w:b/>
          <w:sz w:val="32"/>
          <w:szCs w:val="32"/>
        </w:rPr>
        <w:t>2025年第2季度</w:t>
      </w:r>
    </w:p>
    <w:p w14:paraId="71F3CF26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暨半年度报告</w:t>
      </w:r>
    </w:p>
    <w:p w14:paraId="251841C7">
      <w:pPr>
        <w:jc w:val="center"/>
        <w:rPr>
          <w:rFonts w:hint="eastAsia" w:ascii="宋体" w:hAnsi="宋体"/>
          <w:b/>
          <w:sz w:val="32"/>
          <w:szCs w:val="32"/>
        </w:rPr>
      </w:pPr>
    </w:p>
    <w:p w14:paraId="375CF930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42FDE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A7549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074F63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嘉银年年盈开放式净值型理财产品</w:t>
            </w:r>
          </w:p>
        </w:tc>
      </w:tr>
      <w:tr w14:paraId="16F5D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1C38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738C08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NNY</w:t>
            </w:r>
          </w:p>
        </w:tc>
      </w:tr>
      <w:tr w14:paraId="4744C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8500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459721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C1092321000016</w:t>
            </w:r>
          </w:p>
        </w:tc>
      </w:tr>
      <w:tr w14:paraId="1796B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FF0F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78687D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开放式净值型</w:t>
            </w:r>
          </w:p>
        </w:tc>
      </w:tr>
      <w:tr w14:paraId="63304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94A5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69080B5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2,743,535,324.71份</w:t>
            </w:r>
          </w:p>
        </w:tc>
      </w:tr>
      <w:tr w14:paraId="31F64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C3C6C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B24783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26D9A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0D248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9C3902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2.05</w:t>
            </w:r>
            <w:r>
              <w:rPr>
                <w:rFonts w:hint="default" w:ascii="宋体" w:hAnsi="宋体"/>
                <w:color w:val="000000"/>
                <w:kern w:val="0"/>
                <w:sz w:val="22"/>
              </w:rPr>
              <w:t>%-2.45%</w:t>
            </w:r>
          </w:p>
        </w:tc>
      </w:tr>
      <w:tr w14:paraId="1F1BD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3273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779C11E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0923B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3BB8D1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402D6DB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兴业银行股份有限公司</w:t>
            </w:r>
          </w:p>
        </w:tc>
      </w:tr>
    </w:tbl>
    <w:p w14:paraId="3962F497">
      <w:pPr>
        <w:rPr>
          <w:rFonts w:hint="eastAsia"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7976AEB8">
      <w:pPr>
        <w:rPr>
          <w:rFonts w:hint="eastAsia" w:ascii="宋体" w:hAnsi="宋体"/>
          <w:sz w:val="22"/>
        </w:rPr>
      </w:pPr>
    </w:p>
    <w:p w14:paraId="72335920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78D6F81E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5D7300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EAE568B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C37C846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7A77728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FB3AE47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717F8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3B8E52CB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06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1865AA54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1.218163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6C5B803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1.218163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1E941F3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3,342,073,890.52</w:t>
            </w:r>
          </w:p>
        </w:tc>
      </w:tr>
    </w:tbl>
    <w:p w14:paraId="01A0B78E">
      <w:pPr>
        <w:ind w:firstLine="440"/>
        <w:jc w:val="center"/>
        <w:rPr>
          <w:rFonts w:ascii="宋体" w:hAnsi="宋体"/>
          <w:sz w:val="22"/>
        </w:rPr>
      </w:pPr>
    </w:p>
    <w:p w14:paraId="5356DB61">
      <w:pPr>
        <w:ind w:firstLine="440"/>
        <w:jc w:val="center"/>
        <w:rPr>
          <w:rFonts w:ascii="宋体" w:hAnsi="宋体"/>
          <w:sz w:val="22"/>
        </w:rPr>
      </w:pPr>
    </w:p>
    <w:p w14:paraId="2A10BB48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44D734B4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</w:t>
      </w:r>
      <w:r>
        <w:rPr>
          <w:rFonts w:hint="eastAsia" w:ascii="宋体" w:hAnsi="宋体"/>
          <w:sz w:val="22"/>
          <w:szCs w:val="22"/>
          <w:lang w:val="en-US" w:eastAsia="zh-CN"/>
        </w:rPr>
        <w:t>以及债券类资产为主</w:t>
      </w:r>
      <w:r>
        <w:rPr>
          <w:rFonts w:hint="eastAsia" w:ascii="宋体" w:hAnsi="宋体"/>
          <w:sz w:val="22"/>
          <w:szCs w:val="22"/>
        </w:rPr>
        <w:t>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102.7209%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6F5A7C87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0F521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55E53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1E06A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2950C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3E545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53A7C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6FF4B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C75D6B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EC187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782BC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0CAC3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D0966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34E54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DEE0A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95363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33AE0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B0DED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4C2DA8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1261118D">
      <w:pPr>
        <w:rPr>
          <w:rFonts w:ascii="宋体" w:hAnsi="宋体"/>
          <w:b/>
          <w:bCs/>
          <w:sz w:val="22"/>
        </w:rPr>
      </w:pPr>
    </w:p>
    <w:p w14:paraId="201E0BFF">
      <w:pPr>
        <w:rPr>
          <w:rFonts w:ascii="宋体" w:hAnsi="宋体"/>
          <w:b/>
          <w:bCs/>
          <w:sz w:val="22"/>
        </w:rPr>
      </w:pPr>
    </w:p>
    <w:p w14:paraId="5C95BB39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3222"/>
        <w:gridCol w:w="2114"/>
        <w:gridCol w:w="1189"/>
      </w:tblGrid>
      <w:tr w14:paraId="4FFE9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D9AB15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1B28CD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C73E3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50133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415DD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21F33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4E82D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C44290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信托计划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C7A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华鑫信托鸿运高照1号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7DCA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615,570,675.52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80F3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18.42%</w:t>
            </w:r>
          </w:p>
        </w:tc>
      </w:tr>
      <w:tr w14:paraId="38B94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D7AC3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4A118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资管计划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3BB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创金合信恒利56号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EFA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311,706,081.15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A2FE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9.33%</w:t>
            </w:r>
          </w:p>
        </w:tc>
      </w:tr>
      <w:tr w14:paraId="5123B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0DB12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3DB48C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信用债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4C4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24浔旅03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543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134,487,557.53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3F2F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4.02%</w:t>
            </w:r>
          </w:p>
        </w:tc>
      </w:tr>
      <w:tr w14:paraId="1C79B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44188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031BF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金融债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FA0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21鄞州农商永续债01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624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133,780,308.22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78E9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4.00%</w:t>
            </w:r>
          </w:p>
        </w:tc>
      </w:tr>
      <w:tr w14:paraId="5F1AC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67759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4A779C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中期票据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9E15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23安吉城运MTN001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B69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116,476,589.04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FEBB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3.49%</w:t>
            </w:r>
          </w:p>
        </w:tc>
      </w:tr>
      <w:tr w14:paraId="155D7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EA023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62A00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金融债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7B1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21上饶银行永续债01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A0C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107,066,301.37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EA1B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3.20%</w:t>
            </w:r>
          </w:p>
        </w:tc>
      </w:tr>
      <w:tr w14:paraId="0FEF5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2AA61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3DB878">
            <w:pPr>
              <w:jc w:val="center"/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7EFC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24南浔交通PPN002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BD7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104,865,205.48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9BA2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3.14%</w:t>
            </w:r>
          </w:p>
        </w:tc>
      </w:tr>
      <w:tr w14:paraId="2C07F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CABEC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CBAD47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中期票据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7A2D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24余姚高铁MTN001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8DBA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103,890,493.15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C354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3.11%</w:t>
            </w:r>
          </w:p>
        </w:tc>
      </w:tr>
      <w:tr w14:paraId="745A9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BBA80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BF3E7C">
            <w:pPr>
              <w:jc w:val="center"/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中期票据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128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24宁波舜农MTN002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370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102,891,863.01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DBDD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3.08%</w:t>
            </w:r>
          </w:p>
        </w:tc>
      </w:tr>
      <w:tr w14:paraId="0BEB2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F659D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E2B845">
            <w:pPr>
              <w:jc w:val="center"/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3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AD0E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24武汉开投PPN002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A0B1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102,763,095.89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876F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3.07%</w:t>
            </w:r>
          </w:p>
        </w:tc>
      </w:tr>
    </w:tbl>
    <w:p w14:paraId="3FA18A33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3263"/>
        <w:gridCol w:w="2128"/>
        <w:gridCol w:w="1164"/>
      </w:tblGrid>
      <w:tr w14:paraId="2F597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47D4D8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3DDC3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B6746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A5F0F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FA4FC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15B6E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E53E65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75C41C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信用债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A3A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24浔旅03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4841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146,366,476.49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6C54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4.23%</w:t>
            </w:r>
          </w:p>
        </w:tc>
      </w:tr>
      <w:tr w14:paraId="74EAA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4846FE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454416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金融债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513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21鄞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州农商永续债01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A2F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133,780,308.22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B57F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3.87%</w:t>
            </w:r>
          </w:p>
        </w:tc>
      </w:tr>
      <w:tr w14:paraId="77388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7434D1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CB91DD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中期票据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603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23安吉城运MTN001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196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116,476,589.04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AD40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3.37%</w:t>
            </w:r>
          </w:p>
        </w:tc>
      </w:tr>
      <w:tr w14:paraId="41A05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536756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320DF4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金融债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FFC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21上饶银行永续债01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E67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107,066,301.37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D7ED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3.10%</w:t>
            </w:r>
          </w:p>
        </w:tc>
      </w:tr>
      <w:tr w14:paraId="68484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9086F0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C6F873E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4D8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24南浔交通PPN002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4E4D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104,865,205.48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1555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3.03%</w:t>
            </w:r>
          </w:p>
        </w:tc>
      </w:tr>
      <w:tr w14:paraId="2BC4A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4D7241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A3BD3A3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中期票据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FCA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24余姚高铁MTN001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E493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103,890,493.15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8A76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3.00%</w:t>
            </w:r>
          </w:p>
        </w:tc>
      </w:tr>
      <w:tr w14:paraId="68FF9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4A3DD8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D56584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中期票据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328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24宁波舜农MTN002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07F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102,891,863.01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BCD5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2.98%</w:t>
            </w:r>
          </w:p>
        </w:tc>
      </w:tr>
      <w:tr w14:paraId="5EFFC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E20EDA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2C8F2C2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定向工具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4AC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24武汉开投PPN002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4082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102,763,095.89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2568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2.97%</w:t>
            </w:r>
          </w:p>
        </w:tc>
      </w:tr>
      <w:tr w14:paraId="20A16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CEC524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A79C96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信用债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7B01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AEA1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97,257,420.89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6F2E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2.81%</w:t>
            </w:r>
          </w:p>
        </w:tc>
      </w:tr>
      <w:tr w14:paraId="5208D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EA34B9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8909BC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信用债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F69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23余干发展债01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426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82,804,953.42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A40C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2.39%</w:t>
            </w:r>
          </w:p>
        </w:tc>
      </w:tr>
    </w:tbl>
    <w:p w14:paraId="1C2C3EA0"/>
    <w:p w14:paraId="7A577801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7AD7B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4B7087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488112B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41424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63CA0E0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7B6BB4C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B2410787</w:t>
            </w:r>
          </w:p>
        </w:tc>
      </w:tr>
      <w:tr w14:paraId="5BCF4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FC1A54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66E8BD0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00000054204</w:t>
            </w:r>
          </w:p>
        </w:tc>
      </w:tr>
      <w:tr w14:paraId="3FCCF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620001CC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3752342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B884187057</w:t>
            </w:r>
          </w:p>
        </w:tc>
      </w:tr>
      <w:tr w14:paraId="1AB78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5DF07A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1A9F070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0899286094</w:t>
            </w:r>
          </w:p>
        </w:tc>
      </w:tr>
    </w:tbl>
    <w:p w14:paraId="1087ECD6"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兴业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32069977">
      <w:pPr>
        <w:jc w:val="center"/>
        <w:rPr>
          <w:rFonts w:hint="eastAsia"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</w:t>
      </w:r>
    </w:p>
    <w:p w14:paraId="1217FA30">
      <w:pPr>
        <w:jc w:val="center"/>
        <w:rPr>
          <w:rFonts w:hint="eastAsia" w:ascii="宋体" w:hAnsi="宋体"/>
          <w:sz w:val="22"/>
        </w:rPr>
      </w:pPr>
    </w:p>
    <w:p w14:paraId="220045C7">
      <w:pPr>
        <w:jc w:val="center"/>
        <w:rPr>
          <w:rFonts w:hint="eastAsia" w:ascii="宋体" w:hAnsi="宋体" w:eastAsia="宋体"/>
          <w:sz w:val="22"/>
          <w:lang w:eastAsia="zh-CN"/>
        </w:rPr>
      </w:pPr>
      <w:r>
        <w:rPr>
          <w:rFonts w:hint="eastAsia" w:ascii="宋体" w:hAnsi="宋体" w:eastAsia="宋体"/>
          <w:sz w:val="22"/>
          <w:lang w:eastAsia="zh-CN"/>
        </w:rPr>
        <w:object>
          <v:shape id="_x0000_i1025" o:spt="75" alt="" type="#_x0000_t75" style="height:40.25pt;width:293.6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</w:p>
    <w:p w14:paraId="17AB4470">
      <w:pPr>
        <w:jc w:val="righ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嘉兴银行股份有限公司</w:t>
      </w:r>
    </w:p>
    <w:p w14:paraId="5DBEA359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</w:t>
      </w:r>
      <w:r>
        <w:rPr>
          <w:rFonts w:hint="eastAsia" w:ascii="宋体" w:hAnsi="宋体"/>
          <w:sz w:val="22"/>
          <w:lang w:val="en-US" w:eastAsia="zh-CN"/>
        </w:rPr>
        <w:t xml:space="preserve">     </w:t>
      </w:r>
      <w:r>
        <w:rPr>
          <w:rFonts w:hint="eastAsia" w:ascii="宋体" w:hAnsi="宋体"/>
          <w:sz w:val="22"/>
        </w:rPr>
        <w:t xml:space="preserve">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07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04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lYTZlOGZlNjgwZTkwOTUzNTM1MTFkZTdkYWMwNGMifQ=="/>
  </w:docVars>
  <w:rsids>
    <w:rsidRoot w:val="00000000"/>
    <w:rsid w:val="01172A03"/>
    <w:rsid w:val="076E4ACF"/>
    <w:rsid w:val="09D3436D"/>
    <w:rsid w:val="0F2D6516"/>
    <w:rsid w:val="125F245C"/>
    <w:rsid w:val="13701A71"/>
    <w:rsid w:val="13BB7B66"/>
    <w:rsid w:val="14F97CF6"/>
    <w:rsid w:val="1E51361E"/>
    <w:rsid w:val="23BE3D6C"/>
    <w:rsid w:val="25C71AD2"/>
    <w:rsid w:val="3005732A"/>
    <w:rsid w:val="34995A11"/>
    <w:rsid w:val="374A63FE"/>
    <w:rsid w:val="378B412B"/>
    <w:rsid w:val="3A287E8D"/>
    <w:rsid w:val="3A96260F"/>
    <w:rsid w:val="3BCF0DE5"/>
    <w:rsid w:val="3CCD6091"/>
    <w:rsid w:val="41526264"/>
    <w:rsid w:val="43244531"/>
    <w:rsid w:val="48995029"/>
    <w:rsid w:val="4BC13C6E"/>
    <w:rsid w:val="4CCE0821"/>
    <w:rsid w:val="4D445EFB"/>
    <w:rsid w:val="57B45660"/>
    <w:rsid w:val="60E7781B"/>
    <w:rsid w:val="635B76A3"/>
    <w:rsid w:val="67A867E9"/>
    <w:rsid w:val="72F65851"/>
    <w:rsid w:val="73275F60"/>
    <w:rsid w:val="738901AA"/>
    <w:rsid w:val="783D1B4C"/>
    <w:rsid w:val="7F33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834</Words>
  <Characters>1407</Characters>
  <Lines>1</Lines>
  <Paragraphs>1</Paragraphs>
  <TotalTime>12</TotalTime>
  <ScaleCrop>false</ScaleCrop>
  <LinksUpToDate>false</LinksUpToDate>
  <CharactersWithSpaces>1523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2025-07-18T02:39:40Z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