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1DFFC"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嘉银鑫季盈开放式净值型理财产品</w:t>
      </w:r>
      <w:r>
        <w:rPr>
          <w:rFonts w:hint="eastAsia" w:ascii="宋体" w:hAnsi="宋体"/>
          <w:b/>
          <w:sz w:val="32"/>
          <w:szCs w:val="32"/>
        </w:rPr>
        <w:t>2025年第2季度</w:t>
      </w:r>
    </w:p>
    <w:p w14:paraId="6F1DFC1E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暨半年度报告</w:t>
      </w:r>
    </w:p>
    <w:p w14:paraId="7825D3B5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4EF5DFB5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554ECE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2549E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05903B7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嘉银鑫季盈开放式净值型理财产品</w:t>
            </w:r>
          </w:p>
        </w:tc>
      </w:tr>
      <w:tr w14:paraId="35B3DA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216DC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0B58F7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XJY</w:t>
            </w:r>
          </w:p>
        </w:tc>
      </w:tr>
      <w:tr w14:paraId="1E20BB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45EFD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6410745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C1092322000014</w:t>
            </w:r>
          </w:p>
        </w:tc>
      </w:tr>
      <w:tr w14:paraId="6F9C6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2583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00FF9C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开放式净值型</w:t>
            </w:r>
          </w:p>
        </w:tc>
      </w:tr>
      <w:tr w14:paraId="708C56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AD12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46490B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1,309,689,158.77份</w:t>
            </w:r>
          </w:p>
        </w:tc>
      </w:tr>
      <w:tr w14:paraId="70861D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FBED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669FFB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66F938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624D8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6DB217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2.00%-2.40%</w:t>
            </w:r>
          </w:p>
        </w:tc>
      </w:tr>
      <w:tr w14:paraId="5532CD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ADE5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3CE36FF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272F3D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6BC35C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930F84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招商银行股份有限公司</w:t>
            </w:r>
          </w:p>
        </w:tc>
      </w:tr>
    </w:tbl>
    <w:p w14:paraId="4A5563E3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4FD42CEB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1CE54BD4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7B2D0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1EE03DE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4320031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75C7721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DEEF340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0D1D2D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0A063433">
            <w:pPr>
              <w:ind w:right="3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06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30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32D58BD2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1.132552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F15BDD1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  <w:t>1.132552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B999D3A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1,483,291,296.01</w:t>
            </w:r>
          </w:p>
        </w:tc>
      </w:tr>
    </w:tbl>
    <w:p w14:paraId="7BA03DA9">
      <w:pPr>
        <w:ind w:firstLine="440"/>
        <w:jc w:val="center"/>
        <w:rPr>
          <w:rFonts w:ascii="宋体" w:hAnsi="宋体"/>
          <w:sz w:val="22"/>
        </w:rPr>
      </w:pPr>
    </w:p>
    <w:p w14:paraId="2CBEB80B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025D4C51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本产品穿透前持仓以债券类资产</w:t>
      </w:r>
      <w:r>
        <w:rPr>
          <w:rFonts w:hint="eastAsia" w:ascii="宋体" w:hAnsi="宋体"/>
          <w:sz w:val="22"/>
          <w:szCs w:val="22"/>
          <w:lang w:val="en-US" w:eastAsia="zh-CN"/>
        </w:rPr>
        <w:t>和</w:t>
      </w:r>
      <w:r>
        <w:rPr>
          <w:rFonts w:hint="eastAsia" w:ascii="宋体" w:hAnsi="宋体"/>
          <w:sz w:val="22"/>
          <w:szCs w:val="22"/>
        </w:rPr>
        <w:t>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100.4866%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1840E646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41185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E332F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76F00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27C78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14CF21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381A7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46748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234C9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440FE3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31F25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6C077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62286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50E9F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F2BE6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B542A8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32B72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0554E3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1C4179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204DE06F">
      <w:pPr>
        <w:rPr>
          <w:rFonts w:ascii="宋体" w:hAnsi="宋体"/>
          <w:b/>
          <w:bCs/>
          <w:sz w:val="22"/>
        </w:rPr>
      </w:pPr>
    </w:p>
    <w:p w14:paraId="124BB052">
      <w:pPr>
        <w:rPr>
          <w:rFonts w:ascii="宋体" w:hAnsi="宋体"/>
          <w:b/>
          <w:bCs/>
          <w:sz w:val="22"/>
        </w:rPr>
      </w:pPr>
    </w:p>
    <w:p w14:paraId="0C83A02A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177"/>
        <w:gridCol w:w="2774"/>
        <w:gridCol w:w="2574"/>
        <w:gridCol w:w="1350"/>
      </w:tblGrid>
      <w:tr w14:paraId="2CB72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D9FB78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463B0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7C351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61173B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213AED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6C8AC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B16015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CAE128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资管产品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91E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民生通惠民汇20号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E765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101,138,597.64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37AA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6.79%</w:t>
            </w:r>
          </w:p>
        </w:tc>
      </w:tr>
      <w:tr w14:paraId="063EC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5E125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1A69A1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8B9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23龙经债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E0D1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91,689,558.90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6C68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6.15%</w:t>
            </w:r>
          </w:p>
        </w:tc>
      </w:tr>
      <w:tr w14:paraId="17C53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5D8C42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83B9E4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95F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23天运02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9D16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88,136,405.48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57A9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5.91%</w:t>
            </w:r>
          </w:p>
        </w:tc>
      </w:tr>
      <w:tr w14:paraId="68072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8423B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9A89DB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089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23泉新02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FBDC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76,020,769.72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C032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5.10%</w:t>
            </w:r>
          </w:p>
        </w:tc>
      </w:tr>
      <w:tr w14:paraId="3ABD3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22027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99800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定向工具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1390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22蓉经开PPN002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D7DB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71,634,212.05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58F4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4.81%</w:t>
            </w:r>
          </w:p>
        </w:tc>
      </w:tr>
      <w:tr w14:paraId="299C0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742F9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B3F0B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13F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23于都城资债02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A98A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66,913,030.14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6467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4.49%</w:t>
            </w:r>
          </w:p>
        </w:tc>
      </w:tr>
      <w:tr w14:paraId="0CEE3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A241AB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B63EE95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6BE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22浙越01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3999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63,417,604.38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AE0E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4.25%</w:t>
            </w:r>
          </w:p>
        </w:tc>
      </w:tr>
      <w:tr w14:paraId="5329F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A4A22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B1A729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774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23枣阳01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ACDB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52,872,075.34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3FA3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3.55%</w:t>
            </w:r>
          </w:p>
        </w:tc>
      </w:tr>
      <w:tr w14:paraId="7DF44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A42A1D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C17060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中期票据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A9E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23株洲城建MTN005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A866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52,212,493.15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842A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3.50%</w:t>
            </w:r>
          </w:p>
        </w:tc>
      </w:tr>
      <w:tr w14:paraId="19531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FD8BF0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75818B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定向工具</w:t>
            </w:r>
          </w:p>
        </w:tc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EA5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22西咸新发PPN002</w:t>
            </w:r>
          </w:p>
        </w:tc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110D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51,755,465.75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3C79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3.47%</w:t>
            </w:r>
          </w:p>
        </w:tc>
      </w:tr>
    </w:tbl>
    <w:p w14:paraId="3BD25622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2970"/>
        <w:gridCol w:w="2250"/>
        <w:gridCol w:w="1335"/>
      </w:tblGrid>
      <w:tr w14:paraId="6A50E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33353B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83C41C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0EB6D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AE139FD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E86030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0647B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A0D8D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F74AA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FA6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23龙经债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06BE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91,689,558.90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5FB1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6.15%</w:t>
            </w:r>
          </w:p>
        </w:tc>
      </w:tr>
      <w:tr w14:paraId="5DF2F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D2A01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0C500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C622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23天运02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7556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88,136,405.48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5702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5.91%</w:t>
            </w:r>
          </w:p>
        </w:tc>
      </w:tr>
      <w:tr w14:paraId="1F39A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1FC10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4B403A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E96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23泉新02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2556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76,020,769.72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F11E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5.10%</w:t>
            </w:r>
          </w:p>
        </w:tc>
      </w:tr>
      <w:tr w14:paraId="2126D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98325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A71107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定向工具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2E6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22蓉经开PPN002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3CBC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71,634,212.05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D7B7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4.81%</w:t>
            </w:r>
          </w:p>
        </w:tc>
      </w:tr>
      <w:tr w14:paraId="7D0B1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66A52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A3981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DCA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23于都城资债02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BEF3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66,913,030.14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1172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4.49%</w:t>
            </w:r>
          </w:p>
        </w:tc>
      </w:tr>
      <w:tr w14:paraId="56C4D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E83AE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88C65D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ABF4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22浙越01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AE96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63,417,604.38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E9C3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4.25%</w:t>
            </w:r>
          </w:p>
        </w:tc>
      </w:tr>
      <w:tr w14:paraId="54CCD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D0EF9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8F68FC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FEF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23枣阳01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67BF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52,872,075.34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1D2E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3.55%</w:t>
            </w:r>
          </w:p>
        </w:tc>
      </w:tr>
      <w:tr w14:paraId="3FAD7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EAD54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4FA125B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中期票据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340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23株洲城建MTN005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E8F8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52,212,493.15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6A0E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3.50%</w:t>
            </w:r>
          </w:p>
        </w:tc>
      </w:tr>
      <w:tr w14:paraId="098EF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496C06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94036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定向工具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DE11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22西咸新发PPN002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2EAA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51,755,465.75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FE87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3.47%</w:t>
            </w:r>
          </w:p>
        </w:tc>
      </w:tr>
      <w:tr w14:paraId="7E8DF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13632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4EF7A7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基金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47B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华富中债-安徽省公司信用类债券指数A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7226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51,517,727.95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B930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.46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%</w:t>
            </w:r>
          </w:p>
        </w:tc>
      </w:tr>
    </w:tbl>
    <w:p w14:paraId="7DB53B7F"/>
    <w:p w14:paraId="7C15E81B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50AE7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60E3B19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30038C8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7BD02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CF655B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6F9453A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B2449721</w:t>
            </w:r>
          </w:p>
        </w:tc>
      </w:tr>
      <w:tr w14:paraId="1F9F1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A67726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17847DA8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</w:t>
            </w:r>
            <w:r>
              <w:rPr>
                <w:rFonts w:hint="eastAsia" w:ascii="宋体" w:hAnsi="宋体"/>
                <w:bCs/>
                <w:color w:val="000000"/>
                <w:kern w:val="0"/>
                <w:sz w:val="22"/>
                <w:lang w:val="en-US" w:eastAsia="zh-CN"/>
              </w:rPr>
              <w:t>58095</w:t>
            </w:r>
          </w:p>
        </w:tc>
      </w:tr>
      <w:tr w14:paraId="3B6A8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6AFD87F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63904FB5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B884889811</w:t>
            </w:r>
          </w:p>
        </w:tc>
      </w:tr>
      <w:tr w14:paraId="31230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0823923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072A4E66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0899328948</w:t>
            </w:r>
          </w:p>
        </w:tc>
      </w:tr>
    </w:tbl>
    <w:p w14:paraId="2F7EDA47"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招商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3C8CF15B">
      <w:pPr>
        <w:jc w:val="center"/>
        <w:rPr>
          <w:rFonts w:hint="eastAsia" w:ascii="宋体" w:hAnsi="宋体" w:eastAsia="宋体"/>
          <w:sz w:val="18"/>
          <w:szCs w:val="18"/>
          <w:lang w:eastAsia="zh-CN"/>
        </w:rPr>
      </w:pPr>
    </w:p>
    <w:p w14:paraId="6DA7107A">
      <w:pPr>
        <w:jc w:val="center"/>
        <w:rPr>
          <w:rFonts w:hint="eastAsia" w:ascii="宋体" w:hAnsi="宋体" w:eastAsia="宋体"/>
          <w:sz w:val="18"/>
          <w:szCs w:val="18"/>
          <w:lang w:eastAsia="zh-CN"/>
        </w:rPr>
      </w:pPr>
    </w:p>
    <w:p w14:paraId="50CB534A">
      <w:pPr>
        <w:jc w:val="center"/>
        <w:rPr>
          <w:rFonts w:hint="eastAsia" w:ascii="宋体" w:hAnsi="宋体" w:eastAsia="宋体"/>
          <w:sz w:val="18"/>
          <w:szCs w:val="18"/>
          <w:lang w:eastAsia="zh-CN"/>
        </w:rPr>
      </w:pPr>
      <w:bookmarkStart w:id="0" w:name="_GoBack"/>
      <w:r>
        <w:rPr>
          <w:rFonts w:hint="eastAsia" w:ascii="宋体" w:hAnsi="宋体" w:eastAsia="宋体"/>
          <w:sz w:val="18"/>
          <w:szCs w:val="18"/>
          <w:lang w:eastAsia="zh-CN"/>
        </w:rPr>
        <w:object>
          <v:shape id="_x0000_i1025" o:spt="75" alt="" type="#_x0000_t75" style="height:40.25pt;width:293.6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Content" ObjectID="_1468075725" r:id="rId4">
            <o:LockedField>false</o:LockedField>
          </o:OLEObject>
        </w:object>
      </w:r>
      <w:bookmarkEnd w:id="0"/>
    </w:p>
    <w:p w14:paraId="26039B6F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75D014C4">
      <w:pPr>
        <w:jc w:val="center"/>
        <w:rPr>
          <w:szCs w:val="21"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07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04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lYTZlOGZlNjgwZTkwOTUzNTM1MTFkZTdkYWMwNGMifQ=="/>
  </w:docVars>
  <w:rsids>
    <w:rsidRoot w:val="00000000"/>
    <w:rsid w:val="03F51DF7"/>
    <w:rsid w:val="0E2449B2"/>
    <w:rsid w:val="0E717FE0"/>
    <w:rsid w:val="131D72FC"/>
    <w:rsid w:val="14654408"/>
    <w:rsid w:val="18523496"/>
    <w:rsid w:val="2C6C577A"/>
    <w:rsid w:val="338569F6"/>
    <w:rsid w:val="33EB40ED"/>
    <w:rsid w:val="348F07A4"/>
    <w:rsid w:val="3A3206FA"/>
    <w:rsid w:val="402D32F8"/>
    <w:rsid w:val="44F92C45"/>
    <w:rsid w:val="4A415E0C"/>
    <w:rsid w:val="4B570381"/>
    <w:rsid w:val="5B1B74FE"/>
    <w:rsid w:val="65B952A7"/>
    <w:rsid w:val="69E805B5"/>
    <w:rsid w:val="6A9D060B"/>
    <w:rsid w:val="6AC7113E"/>
    <w:rsid w:val="6ACC2463"/>
    <w:rsid w:val="70652E89"/>
    <w:rsid w:val="71181CA6"/>
    <w:rsid w:val="77C6230F"/>
    <w:rsid w:val="786E0F4B"/>
    <w:rsid w:val="7D90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808</Words>
  <Characters>1345</Characters>
  <Lines>1</Lines>
  <Paragraphs>1</Paragraphs>
  <TotalTime>0</TotalTime>
  <ScaleCrop>false</ScaleCrop>
  <LinksUpToDate>false</LinksUpToDate>
  <CharactersWithSpaces>1464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2113-01-01T00:00:00Z</cp:lastPrinted>
  <dcterms:modified xsi:type="dcterms:W3CDTF">2025-07-18T02:40:51Z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