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3FCC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嘉银2406期理财产品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年第2季度</w:t>
      </w:r>
    </w:p>
    <w:p w14:paraId="18C11E59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</w:t>
      </w:r>
      <w:r>
        <w:rPr>
          <w:rFonts w:ascii="宋体" w:hAnsi="宋体"/>
          <w:b/>
          <w:sz w:val="32"/>
          <w:szCs w:val="32"/>
        </w:rPr>
        <w:t>报告</w:t>
      </w:r>
    </w:p>
    <w:p w14:paraId="6632B9E7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5D1EBD1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C768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D230A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45B0A27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嘉银2406期理财产品</w:t>
            </w:r>
          </w:p>
        </w:tc>
      </w:tr>
      <w:tr w14:paraId="62BB6B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16A6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99E61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JYHC2406</w:t>
            </w:r>
          </w:p>
        </w:tc>
      </w:tr>
      <w:tr w14:paraId="3A956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F142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1822FE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C1092324000003</w:t>
            </w:r>
          </w:p>
        </w:tc>
      </w:tr>
      <w:tr w14:paraId="57D71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BCDC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EBA70E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2CB70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27FF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8429C9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75,000,000.00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3F69D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4E86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F45D037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5BAC3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BFD8E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0F08C5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3.6%-3.8%</w:t>
            </w:r>
          </w:p>
        </w:tc>
      </w:tr>
      <w:tr w14:paraId="3A91A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6DF2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52D2EF9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62BE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847B20E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D69B88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14:paraId="6E2634E7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15CD7C99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0327270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3D044B58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758E0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979B2CA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7145B4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0F162AB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CBF6934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4610E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31E4BDCB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306AF414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1.0562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928F63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1.0562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D9D3E7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79,218,086.12</w:t>
            </w:r>
          </w:p>
        </w:tc>
      </w:tr>
    </w:tbl>
    <w:p w14:paraId="0ACCD674">
      <w:pPr>
        <w:ind w:firstLine="440"/>
        <w:jc w:val="center"/>
        <w:rPr>
          <w:rFonts w:ascii="宋体" w:hAnsi="宋体"/>
          <w:sz w:val="22"/>
        </w:rPr>
      </w:pPr>
    </w:p>
    <w:p w14:paraId="7E37F5CC">
      <w:pPr>
        <w:ind w:firstLine="440"/>
        <w:jc w:val="center"/>
        <w:rPr>
          <w:rFonts w:ascii="宋体" w:hAnsi="宋体"/>
          <w:sz w:val="22"/>
        </w:rPr>
      </w:pPr>
    </w:p>
    <w:p w14:paraId="44C269D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FB7DBB1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</w:t>
      </w:r>
      <w:r>
        <w:rPr>
          <w:rFonts w:hint="eastAsia" w:ascii="宋体" w:hAnsi="宋体"/>
          <w:sz w:val="22"/>
          <w:szCs w:val="22"/>
          <w:lang w:val="en-US" w:eastAsia="zh-CN"/>
        </w:rPr>
        <w:t>信托贷款和货币基金投资</w:t>
      </w:r>
      <w:r>
        <w:rPr>
          <w:rFonts w:hint="eastAsia" w:ascii="宋体" w:hAnsi="宋体"/>
          <w:sz w:val="22"/>
          <w:szCs w:val="22"/>
        </w:rPr>
        <w:t>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100.4264%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7EC3D80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516AD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7A71F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16FB0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12686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E3FCB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CC755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7E2FC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C5D75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C40A4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F830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8DF00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543BF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5E173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180B6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7709C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97B7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F0504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17C6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3D85E411">
      <w:pPr>
        <w:rPr>
          <w:rFonts w:ascii="宋体" w:hAnsi="宋体"/>
          <w:b/>
          <w:bCs/>
          <w:sz w:val="22"/>
        </w:rPr>
      </w:pPr>
    </w:p>
    <w:p w14:paraId="7637F681">
      <w:pPr>
        <w:rPr>
          <w:rFonts w:ascii="宋体" w:hAnsi="宋体"/>
          <w:b/>
          <w:bCs/>
          <w:sz w:val="22"/>
        </w:rPr>
      </w:pPr>
    </w:p>
    <w:p w14:paraId="7DB9D6E7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6C335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4709F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384EE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18ED3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A8625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6850F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44A4F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054DF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D2C07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DD7D2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陆家嘴信托-锦绣23号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69A0CEA8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68,952,000.00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275ED812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86.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67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  <w:tr w14:paraId="2E07F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B2398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4695A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E7967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华润信托尊盈1号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081B65FC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10,603,853.43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15C7DADF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13.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33</w:t>
            </w: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%</w:t>
            </w:r>
          </w:p>
        </w:tc>
      </w:tr>
    </w:tbl>
    <w:p w14:paraId="47FDF97D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5917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0C3D1B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E37BE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486C4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91710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62058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00D5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71853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9ECC5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信托贷款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71B1B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嘉善经济技术开发区实业有限公司DK12400X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DF0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62,5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D2D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78.55%</w:t>
            </w:r>
          </w:p>
        </w:tc>
      </w:tr>
      <w:tr w14:paraId="7D0F9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9A8F9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49BC6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基金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EB7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财通财通宝B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C65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5,656,941.97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301D5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7.11%</w:t>
            </w:r>
          </w:p>
        </w:tc>
      </w:tr>
      <w:tr w14:paraId="6AE1E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4C4D7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5F08C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B0A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24浔开04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974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763,869.09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F8E89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0.96%</w:t>
            </w:r>
          </w:p>
        </w:tc>
      </w:tr>
      <w:tr w14:paraId="681EB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9ECB0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0F152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F7F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23柯资06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E7E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759,317.69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0CC76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0.95%</w:t>
            </w:r>
          </w:p>
        </w:tc>
      </w:tr>
      <w:tr w14:paraId="6688D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F9279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E70FF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768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24上合02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144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753,096.74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A0CA9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0.95%</w:t>
            </w:r>
          </w:p>
        </w:tc>
      </w:tr>
      <w:tr w14:paraId="3CEDE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2D76F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28FED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547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E00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735,936.91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92618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0.92%</w:t>
            </w:r>
          </w:p>
        </w:tc>
      </w:tr>
      <w:tr w14:paraId="70AC4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2EAA84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6B17C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CB1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23浙南01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1CE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720,840.04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7BF36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0.91%</w:t>
            </w:r>
          </w:p>
        </w:tc>
      </w:tr>
      <w:tr w14:paraId="2E8A7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C6A23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D9739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B2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60A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718,714.55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22DDC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0.90%</w:t>
            </w:r>
          </w:p>
        </w:tc>
      </w:tr>
      <w:tr w14:paraId="2A409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E52BE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CABA2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B5B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A17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640,960.43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D2A5D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0.81%</w:t>
            </w:r>
          </w:p>
        </w:tc>
      </w:tr>
      <w:tr w14:paraId="53E94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BE5F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CF280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41E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24宁高02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688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640,045.70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323CD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0.80%</w:t>
            </w:r>
          </w:p>
        </w:tc>
      </w:tr>
    </w:tbl>
    <w:p w14:paraId="43FD0CF3"/>
    <w:p w14:paraId="69A577E1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0496AE19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6AF819B0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4E987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7A829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4762DEA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1F569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DC2A9E5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3DA53D3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14:paraId="3EAE8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460318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06C7C8D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14:paraId="04774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CADC2F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02D5D9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14:paraId="4E0F0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FCA55A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0F86A6A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14:paraId="71C15533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14:paraId="52AC8721">
      <w:pPr>
        <w:rPr>
          <w:rFonts w:hint="eastAsia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 xml:space="preserve">     </w:t>
      </w:r>
    </w:p>
    <w:p w14:paraId="3E945561">
      <w:pPr>
        <w:ind w:firstLine="900" w:firstLineChars="300"/>
        <w:rPr>
          <w:rFonts w:hint="default" w:ascii="宋体" w:hAnsi="宋体" w:eastAsia="宋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sz w:val="30"/>
          <w:szCs w:val="30"/>
          <w:lang w:val="en-US" w:eastAsia="zh-CN"/>
        </w:rPr>
        <w:t xml:space="preserve">      </w:t>
      </w:r>
      <w:r>
        <w:rPr>
          <w:rFonts w:hint="eastAsia" w:ascii="宋体" w:hAnsi="宋体"/>
          <w:sz w:val="30"/>
          <w:szCs w:val="30"/>
          <w:lang w:val="en-US" w:eastAsia="zh-CN"/>
        </w:rPr>
        <w:object>
          <v:shape id="_x0000_i1025" o:spt="75" type="#_x0000_t75" style="height:40.25pt;width:237.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</w:p>
    <w:p w14:paraId="3CD5D8DD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0D6F88B3">
      <w:pPr>
        <w:rPr>
          <w:rFonts w:ascii="宋体" w:hAnsi="宋体"/>
          <w:sz w:val="22"/>
        </w:rPr>
      </w:pP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77259582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03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1E64D3F"/>
    <w:rsid w:val="02432FF4"/>
    <w:rsid w:val="141C40E2"/>
    <w:rsid w:val="1C02280F"/>
    <w:rsid w:val="1D355C83"/>
    <w:rsid w:val="1E3C75ED"/>
    <w:rsid w:val="1F810E7D"/>
    <w:rsid w:val="20EC2A15"/>
    <w:rsid w:val="25ED5498"/>
    <w:rsid w:val="2E7A5A24"/>
    <w:rsid w:val="3361434F"/>
    <w:rsid w:val="3B3759C5"/>
    <w:rsid w:val="3BC8274A"/>
    <w:rsid w:val="45BC47A6"/>
    <w:rsid w:val="484C0877"/>
    <w:rsid w:val="4A454229"/>
    <w:rsid w:val="4F057A0E"/>
    <w:rsid w:val="54037AEB"/>
    <w:rsid w:val="57BB4FAE"/>
    <w:rsid w:val="603E7648"/>
    <w:rsid w:val="67896096"/>
    <w:rsid w:val="69E42B8C"/>
    <w:rsid w:val="6A2E66CC"/>
    <w:rsid w:val="6C0B4567"/>
    <w:rsid w:val="704024ED"/>
    <w:rsid w:val="775069A4"/>
    <w:rsid w:val="77BE0E2A"/>
    <w:rsid w:val="77E712D5"/>
    <w:rsid w:val="796E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700</Words>
  <Characters>1048</Characters>
  <Lines>1</Lines>
  <Paragraphs>1</Paragraphs>
  <TotalTime>12</TotalTime>
  <ScaleCrop>false</ScaleCrop>
  <LinksUpToDate>false</LinksUpToDate>
  <CharactersWithSpaces>1171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2025-07-18T02:47:04Z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