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&#65279;<?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 Id="SKWMQ6GH79TA00HG9GR8QL0S7ZQ0OYYREF0XLJDXXGHRTDWTZ8BJQCJ7FSVHPC6RXNM6EOZGZH078LJJQFFARFFV8RZ0WIWBBSODPHB370F99C75F283EAF0B45A49C0E78BB8F1" Type="http://schemas.microsoft.com/office/2006/relationships/officeDocumentMain" Target="docProps/core.xml"/><Relationship Id="CYWFY6GK797Q0V9G9GRNRL0R7NM0OAPRQE0XXJD8XFFRTGLTZMBRVCJ6FYRHPFIRBEMXSOL0ZIAD8MXJRJFTKF8D8RN0WILBAEOOKHB38BFB6C01E14924F7B69E288ABD103A3E" Type="http://schemas.microsoft.com/office/2006/relationships/officeDocumentExtended"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tabs>
          <w:tab w:val="left" w:pos="1470"/>
        </w:tabs>
        <w:spacing w:line="540" w:lineRule="atLeast"/>
        <w:jc w:val="center"/>
        <w:rPr>
          <w:rFonts w:hint="eastAsia" w:ascii="宋体" w:hAnsi="宋体" w:eastAsia="宋体" w:cs="宋体"/>
          <w:b/>
          <w:kern w:val="0"/>
          <w:sz w:val="30"/>
          <w:szCs w:val="30"/>
          <w:lang w:val="en-US" w:eastAsia="zh-CN" w:bidi="ar-SA"/>
        </w:rPr>
      </w:pPr>
      <w:bookmarkStart w:id="20" w:name="_GoBack"/>
      <w:r>
        <w:rPr>
          <w:rFonts w:hint="eastAsia" w:ascii="宋体" w:hAnsi="宋体" w:eastAsia="宋体" w:cs="宋体"/>
          <w:b/>
          <w:sz w:val="30"/>
          <w:szCs w:val="30"/>
          <w:lang w:val="en-US" w:eastAsia="zh-CN"/>
        </w:rPr>
        <w:t>关于</w:t>
      </w:r>
      <w:bookmarkStart w:id="0" w:name="Text2"/>
      <w:r>
        <w:rPr>
          <w:rFonts w:hint="eastAsia" w:ascii="宋体" w:hAnsi="宋体" w:cs="宋体"/>
          <w:b/>
          <w:kern w:val="0"/>
          <w:sz w:val="30"/>
          <w:szCs w:val="30"/>
          <w:lang w:val="en-US" w:eastAsia="zh-CN" w:bidi="ar-SA"/>
        </w:rPr>
        <w:t>民生理财贵竹固收增利月月盈30天持有期11号理财产品</w:t>
      </w:r>
      <w:bookmarkEnd w:id="0"/>
    </w:p>
    <w:p>
      <w:pPr>
        <w:pStyle w:val="6"/>
        <w:tabs>
          <w:tab w:val="left" w:pos="1470"/>
        </w:tabs>
        <w:spacing w:line="540" w:lineRule="atLeast"/>
        <w:jc w:val="center"/>
        <w:rPr>
          <w:rFonts w:hint="eastAsia" w:ascii="宋体" w:hAnsi="宋体" w:eastAsia="宋体" w:cs="宋体"/>
          <w:b/>
          <w:sz w:val="30"/>
          <w:szCs w:val="30"/>
          <w:lang w:val="en-US" w:eastAsia="zh-CN"/>
        </w:rPr>
      </w:pPr>
      <w:r>
        <w:rPr>
          <w:rFonts w:hint="eastAsia" w:ascii="宋体" w:hAnsi="宋体" w:cs="宋体"/>
          <w:b/>
          <w:kern w:val="0"/>
          <w:sz w:val="30"/>
          <w:szCs w:val="30"/>
          <w:lang w:val="en-US" w:eastAsia="zh-CN" w:bidi="ar-SA"/>
        </w:rPr>
        <w:t>增加销售对象及合同调整</w:t>
      </w:r>
      <w:r>
        <w:rPr>
          <w:rFonts w:hint="eastAsia" w:ascii="宋体" w:hAnsi="宋体" w:eastAsia="宋体" w:cs="宋体"/>
          <w:b/>
          <w:sz w:val="30"/>
          <w:szCs w:val="30"/>
          <w:lang w:val="en-US" w:eastAsia="zh-CN"/>
        </w:rPr>
        <w:t>的公告</w:t>
      </w:r>
    </w:p>
    <w:p>
      <w:pPr>
        <w:pStyle w:val="6"/>
        <w:keepNext w:val="0"/>
        <w:keepLines w:val="0"/>
        <w:pageBreakBefore w:val="0"/>
        <w:tabs>
          <w:tab w:val="left" w:pos="1470"/>
        </w:tabs>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sz w:val="21"/>
          <w:szCs w:val="21"/>
        </w:rPr>
      </w:pPr>
    </w:p>
    <w:p>
      <w:pPr>
        <w:pStyle w:val="6"/>
        <w:keepNext w:val="0"/>
        <w:keepLines w:val="0"/>
        <w:pageBreakBefore w:val="0"/>
        <w:tabs>
          <w:tab w:val="left" w:pos="1470"/>
        </w:tabs>
        <w:kinsoku/>
        <w:wordWrap/>
        <w:overflowPunct/>
        <w:topLinePunct w:val="0"/>
        <w:autoSpaceDE/>
        <w:autoSpaceDN/>
        <w:bidi w:val="0"/>
        <w:adjustRightInd/>
        <w:snapToGrid/>
        <w:spacing w:line="360" w:lineRule="auto"/>
        <w:ind w:right="0" w:rightChars="0"/>
        <w:textAlignment w:val="auto"/>
        <w:rPr>
          <w:rFonts w:hint="eastAsia" w:ascii="宋体" w:hAnsi="宋体" w:eastAsia="宋体" w:cs="宋体"/>
          <w:sz w:val="21"/>
          <w:szCs w:val="21"/>
        </w:rPr>
      </w:pPr>
      <w:r>
        <w:rPr>
          <w:rFonts w:hint="eastAsia" w:ascii="宋体" w:hAnsi="宋体" w:eastAsia="宋体" w:cs="宋体"/>
          <w:sz w:val="21"/>
          <w:szCs w:val="21"/>
        </w:rPr>
        <w:t>尊敬的投资者：</w:t>
      </w:r>
    </w:p>
    <w:p>
      <w:pPr>
        <w:keepNext w:val="0"/>
        <w:keepLines w:val="0"/>
        <w:pageBreakBefore w:val="0"/>
        <w:tabs>
          <w:tab w:val="left" w:pos="1470"/>
        </w:tabs>
        <w:kinsoku/>
        <w:wordWrap/>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bCs/>
          <w:kern w:val="2"/>
          <w:sz w:val="21"/>
          <w:szCs w:val="21"/>
          <w:lang w:val="en-US" w:eastAsia="zh-CN" w:bidi="ar-SA"/>
        </w:rPr>
      </w:pPr>
      <w:r>
        <w:rPr>
          <w:rFonts w:hint="eastAsia" w:ascii="宋体" w:hAnsi="宋体" w:eastAsia="宋体" w:cs="宋体"/>
          <w:sz w:val="21"/>
          <w:szCs w:val="21"/>
          <w:lang w:val="en-US" w:eastAsia="zh-CN"/>
        </w:rPr>
        <w:t>为满足投资者的投资需求，我司拟自</w:t>
      </w:r>
      <w:bookmarkStart w:id="1" w:name="XX机构"/>
      <w:r>
        <w:rPr>
          <w:rFonts w:hint="eastAsia" w:ascii="Times New Roman" w:hAnsi="Times New Roman" w:eastAsia="宋体" w:cs="Times New Roman"/>
          <w:kern w:val="0"/>
          <w:sz w:val="21"/>
          <w:szCs w:val="24"/>
          <w:highlight w:val="none"/>
          <w:lang w:val="en-US" w:eastAsia="zh-CN" w:bidi="ar-SA"/>
        </w:rPr>
        <w:t>2025年5月14日（含）</w:t>
      </w:r>
      <w:bookmarkEnd w:id="1"/>
      <w:r>
        <w:rPr>
          <w:rFonts w:hint="eastAsia" w:ascii="Times New Roman" w:hAnsi="Times New Roman" w:cs="Times New Roman"/>
          <w:kern w:val="0"/>
          <w:sz w:val="21"/>
          <w:szCs w:val="24"/>
          <w:highlight w:val="none"/>
          <w:lang w:val="en-US" w:eastAsia="zh-CN" w:bidi="ar-SA"/>
        </w:rPr>
        <w:t>起，对</w:t>
      </w:r>
      <w:bookmarkStart w:id="2" w:name="FileSave"/>
      <w:r>
        <w:rPr>
          <w:rFonts w:hint="eastAsia" w:ascii="Times New Roman" w:hAnsi="Times New Roman" w:eastAsia="宋体" w:cs="Times New Roman"/>
          <w:kern w:val="0"/>
          <w:sz w:val="21"/>
          <w:szCs w:val="24"/>
          <w:highlight w:val="none"/>
          <w:lang w:val="en-US" w:eastAsia="zh-CN" w:bidi="ar-SA"/>
        </w:rPr>
        <w:t>民生理财贵竹固收增利月月盈30天持有期11号理财产品（产品代码：FBAE41311）</w:t>
      </w:r>
      <w:bookmarkEnd w:id="2"/>
      <w:r>
        <w:rPr>
          <w:rFonts w:hint="eastAsia" w:ascii="Times New Roman" w:hAnsi="Times New Roman" w:cs="Times New Roman"/>
          <w:kern w:val="0"/>
          <w:sz w:val="21"/>
          <w:szCs w:val="24"/>
          <w:highlight w:val="none"/>
          <w:lang w:val="en-US" w:eastAsia="zh-CN" w:bidi="ar-SA"/>
        </w:rPr>
        <w:t>新增</w:t>
      </w:r>
      <w:r>
        <w:rPr>
          <w:rFonts w:hint="eastAsia" w:ascii="Times New Roman" w:hAnsi="Times New Roman" w:eastAsia="宋体" w:cs="Times New Roman"/>
          <w:kern w:val="0"/>
          <w:sz w:val="21"/>
          <w:szCs w:val="24"/>
          <w:highlight w:val="none"/>
          <w:lang w:val="en-US" w:eastAsia="zh-CN" w:bidi="ar-SA"/>
        </w:rPr>
        <w:t>M份额</w:t>
      </w:r>
      <w:r>
        <w:rPr>
          <w:rFonts w:hint="eastAsia" w:ascii="Times New Roman" w:hAnsi="Times New Roman" w:cs="Times New Roman"/>
          <w:kern w:val="0"/>
          <w:sz w:val="21"/>
          <w:szCs w:val="24"/>
          <w:highlight w:val="none"/>
          <w:lang w:val="en-US" w:eastAsia="zh-CN" w:bidi="ar-SA"/>
        </w:rPr>
        <w:t>，</w:t>
      </w:r>
      <w:bookmarkStart w:id="3" w:name="Text3"/>
      <w:r>
        <w:rPr>
          <w:rFonts w:hint="eastAsia" w:ascii="Times New Roman" w:hAnsi="Times New Roman" w:eastAsia="宋体" w:cs="Times New Roman"/>
          <w:kern w:val="0"/>
          <w:sz w:val="21"/>
          <w:szCs w:val="24"/>
          <w:highlight w:val="none"/>
          <w:lang w:val="en-US" w:eastAsia="zh-CN" w:bidi="ar-SA"/>
        </w:rPr>
        <w:t>面向华夏银行股份有限公司进行销售</w:t>
      </w:r>
      <w:bookmarkEnd w:id="3"/>
      <w:r>
        <w:rPr>
          <w:rFonts w:hint="eastAsia" w:ascii="Times New Roman" w:hAnsi="Times New Roman" w:cs="Times New Roman"/>
          <w:kern w:val="0"/>
          <w:sz w:val="21"/>
          <w:szCs w:val="24"/>
          <w:highlight w:val="none"/>
          <w:lang w:val="en-US" w:eastAsia="zh-CN" w:bidi="ar-SA"/>
        </w:rPr>
        <w:t>。</w:t>
      </w:r>
    </w:p>
    <w:p>
      <w:pPr>
        <w:keepNext w:val="0"/>
        <w:keepLines w:val="0"/>
        <w:pageBreakBefore w:val="0"/>
        <w:tabs>
          <w:tab w:val="left" w:pos="1470"/>
        </w:tabs>
        <w:kinsoku/>
        <w:wordWrap/>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由于不同份额的销售对象及适合投资者、认购/申购起点金额、认购/申购递增金额、最小赎回份额、认购/申购金额限制、赎回份额限制、业绩比较基准等产品要素可能存在差异，因此，产品合同中的相关内容将按照不同份额进行表述。</w:t>
      </w:r>
      <w:bookmarkStart w:id="4" w:name="正文"/>
      <w:r>
        <w:rPr>
          <w:rFonts w:hint="eastAsia" w:ascii="Times New Roman" w:hAnsi="Times New Roman" w:eastAsia="宋体" w:cs="Times New Roman"/>
          <w:kern w:val="0"/>
          <w:sz w:val="21"/>
          <w:szCs w:val="24"/>
          <w:highlight w:val="none"/>
          <w:lang w:val="en-US" w:eastAsia="zh-CN" w:bidi="ar-SA"/>
        </w:rPr>
        <w:t>M份额</w:t>
      </w:r>
      <w:bookmarkEnd w:id="4"/>
      <w:r>
        <w:rPr>
          <w:rFonts w:hint="eastAsia" w:ascii="宋体" w:hAnsi="宋体" w:eastAsia="宋体" w:cs="宋体"/>
          <w:b w:val="0"/>
          <w:bCs/>
          <w:kern w:val="2"/>
          <w:sz w:val="21"/>
          <w:szCs w:val="21"/>
          <w:lang w:val="en-US" w:eastAsia="zh-CN" w:bidi="ar-SA"/>
        </w:rPr>
        <w:t>主要要素信息更新如下：</w:t>
      </w:r>
    </w:p>
    <w:p>
      <w:pPr>
        <w:keepNext w:val="0"/>
        <w:keepLines w:val="0"/>
        <w:pageBreakBefore w:val="0"/>
        <w:tabs>
          <w:tab w:val="left" w:pos="1470"/>
        </w:tabs>
        <w:kinsoku/>
        <w:wordWrap/>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一、“一、理财产品基本信息”中：</w:t>
      </w:r>
    </w:p>
    <w:tbl>
      <w:tblPr>
        <w:tblStyle w:val="3"/>
        <w:tblW w:w="94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84"/>
        <w:gridCol w:w="6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584" w:type="dxa"/>
            <w:tcBorders>
              <w:top w:val="single" w:color="auto" w:sz="4" w:space="0"/>
              <w:left w:val="single" w:color="auto" w:sz="4" w:space="0"/>
              <w:bottom w:val="single" w:color="auto" w:sz="4" w:space="0"/>
              <w:right w:val="single" w:color="auto" w:sz="4" w:space="0"/>
            </w:tcBorders>
            <w:vAlign w:val="center"/>
          </w:tcPr>
          <w:p>
            <w:pPr>
              <w:keepLines w:val="0"/>
              <w:pageBreakBefore w:val="0"/>
              <w:kinsoku/>
              <w:wordWrap/>
              <w:overflowPunct/>
              <w:topLinePunct w:val="0"/>
              <w:bidi w:val="0"/>
              <w:spacing w:beforeLines="0" w:afterLines="0" w:line="360" w:lineRule="auto"/>
              <w:ind w:right="0" w:rightChars="0"/>
              <w:jc w:val="center"/>
              <w:textAlignment w:val="auto"/>
              <w:rPr>
                <w:kern w:val="0"/>
                <w:highlight w:val="none"/>
              </w:rPr>
            </w:pPr>
            <w:r>
              <w:rPr>
                <w:color w:val="000000"/>
                <w:kern w:val="0"/>
                <w:szCs w:val="21"/>
                <w:highlight w:val="none"/>
              </w:rPr>
              <w:t>产品代码</w:t>
            </w:r>
          </w:p>
        </w:tc>
        <w:tc>
          <w:tcPr>
            <w:tcW w:w="6837" w:type="dxa"/>
            <w:tcBorders>
              <w:top w:val="single" w:color="auto" w:sz="4" w:space="0"/>
              <w:left w:val="single" w:color="auto" w:sz="4" w:space="0"/>
              <w:bottom w:val="single" w:color="auto" w:sz="4" w:space="0"/>
              <w:right w:val="single" w:color="auto" w:sz="4" w:space="0"/>
            </w:tcBorders>
            <w:vAlign w:val="center"/>
          </w:tcPr>
          <w:p>
            <w:pPr>
              <w:spacing w:beforeLines="0" w:afterLines="0" w:line="360" w:lineRule="auto"/>
              <w:rPr>
                <w:b/>
                <w:bCs/>
                <w:kern w:val="44"/>
                <w:highlight w:val="none"/>
                <w:lang w:bidi="ar"/>
              </w:rPr>
            </w:pPr>
            <w:bookmarkStart w:id="5" w:name="Text68"/>
            <w:r>
              <w:rPr>
                <w:rFonts w:ascii="Times New Roman" w:hAnsi="Times New Roman" w:eastAsia="宋体" w:cs="Times New Roman"/>
                <w:kern w:val="0"/>
                <w:sz w:val="21"/>
                <w:szCs w:val="24"/>
                <w:highlight w:val="none"/>
                <w:lang w:val="en-US" w:eastAsia="zh-CN" w:bidi="ar-SA"/>
              </w:rPr>
              <w:t>M份额：FBAE41311M</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584" w:type="dxa"/>
            <w:tcBorders>
              <w:top w:val="single" w:color="auto" w:sz="4" w:space="0"/>
              <w:left w:val="single" w:color="auto" w:sz="4" w:space="0"/>
              <w:bottom w:val="single" w:color="auto" w:sz="4" w:space="0"/>
              <w:right w:val="single" w:color="auto" w:sz="4" w:space="0"/>
            </w:tcBorders>
            <w:vAlign w:val="center"/>
          </w:tcPr>
          <w:p>
            <w:pPr>
              <w:keepLines w:val="0"/>
              <w:pageBreakBefore w:val="0"/>
              <w:kinsoku/>
              <w:wordWrap/>
              <w:overflowPunct/>
              <w:topLinePunct w:val="0"/>
              <w:bidi w:val="0"/>
              <w:spacing w:beforeLines="0" w:afterLines="0" w:line="360" w:lineRule="auto"/>
              <w:ind w:right="0" w:rightChars="0"/>
              <w:jc w:val="center"/>
              <w:textAlignment w:val="auto"/>
              <w:rPr>
                <w:color w:val="000000"/>
                <w:kern w:val="0"/>
                <w:highlight w:val="none"/>
              </w:rPr>
            </w:pPr>
            <w:r>
              <w:rPr>
                <w:kern w:val="0"/>
                <w:highlight w:val="none"/>
              </w:rPr>
              <w:t>销售对象及适合投资者</w:t>
            </w:r>
          </w:p>
        </w:tc>
        <w:tc>
          <w:tcPr>
            <w:tcW w:w="6837" w:type="dxa"/>
            <w:tcBorders>
              <w:top w:val="single" w:color="auto" w:sz="4" w:space="0"/>
              <w:left w:val="single" w:color="auto" w:sz="4" w:space="0"/>
              <w:bottom w:val="single" w:color="auto" w:sz="4" w:space="0"/>
              <w:right w:val="single" w:color="auto" w:sz="4" w:space="0"/>
            </w:tcBorders>
            <w:vAlign w:val="top"/>
          </w:tcPr>
          <w:p>
            <w:pPr>
              <w:keepLines w:val="0"/>
              <w:pageBreakBefore w:val="0"/>
              <w:kinsoku/>
              <w:wordWrap/>
              <w:overflowPunct/>
              <w:topLinePunct w:val="0"/>
              <w:bidi w:val="0"/>
              <w:spacing w:beforeLines="0" w:afterLines="0" w:line="360" w:lineRule="auto"/>
              <w:ind w:right="0" w:rightChars="0"/>
              <w:textAlignment w:val="auto"/>
              <w:rPr>
                <w:color w:val="000000"/>
                <w:kern w:val="0"/>
                <w:highlight w:val="none"/>
              </w:rPr>
            </w:pPr>
            <w:r>
              <w:rPr>
                <w:kern w:val="44"/>
                <w:highlight w:val="none"/>
                <w:lang w:bidi="ar"/>
              </w:rPr>
              <w:t>本理财产品面向不特定社会公众销售</w:t>
            </w:r>
            <w:bookmarkStart w:id="6" w:name="Text74"/>
            <w:r>
              <w:rPr>
                <w:rFonts w:ascii="Times New Roman" w:hAnsi="Times New Roman" w:eastAsia="宋体" w:cs="Times New Roman"/>
                <w:kern w:val="44"/>
                <w:sz w:val="21"/>
                <w:szCs w:val="24"/>
                <w:highlight w:val="none"/>
                <w:lang w:val="en-US" w:eastAsia="zh-CN" w:bidi="ar"/>
              </w:rPr>
              <w:t>。其中，M份额：非民生银行客户，具体以代理销售机构为准。</w:t>
            </w:r>
            <w:bookmarkEnd w:id="6"/>
            <w:r>
              <w:rPr>
                <w:kern w:val="44"/>
                <w:sz w:val="21"/>
                <w:szCs w:val="24"/>
                <w:highlight w:val="none"/>
                <w:lang w:val="en-US" w:eastAsia="zh-CN" w:bidi="ar"/>
              </w:rPr>
              <w:t>经理财产品管理人评估，购买本理财产品的投资者的风险承受能力评级须为稳健型、平衡型、成长型和进取型。</w:t>
            </w:r>
            <w:bookmarkStart w:id="7" w:name="Text52"/>
            <w:r>
              <w:rPr>
                <w:rFonts w:hint="default"/>
                <w:kern w:val="44"/>
                <w:sz w:val="21"/>
                <w:szCs w:val="24"/>
                <w:highlight w:val="none"/>
                <w:lang w:val="en-US" w:eastAsia="zh-CN" w:bidi="ar"/>
              </w:rPr>
              <w:t>如代理销售机构对本理财产品的风险评级与管理人评级不一致，以代理销售机构最终披露的评级结果对应的销售对象及适合投资者为准。如代理销售机构适用和管理人不同的投资者与理财产品的匹配方法，以代理销售机构向投资者最终披露的匹配方法为准。</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584" w:type="dxa"/>
            <w:tcBorders>
              <w:top w:val="single" w:color="auto" w:sz="4" w:space="0"/>
              <w:left w:val="single" w:color="auto" w:sz="4" w:space="0"/>
              <w:bottom w:val="single" w:color="auto" w:sz="4" w:space="0"/>
              <w:right w:val="single" w:color="auto" w:sz="4" w:space="0"/>
            </w:tcBorders>
            <w:vAlign w:val="center"/>
          </w:tcPr>
          <w:p>
            <w:pPr>
              <w:keepLines w:val="0"/>
              <w:pageBreakBefore w:val="0"/>
              <w:kinsoku/>
              <w:wordWrap/>
              <w:overflowPunct/>
              <w:topLinePunct w:val="0"/>
              <w:bidi w:val="0"/>
              <w:spacing w:beforeLines="0" w:afterLines="0" w:line="360" w:lineRule="auto"/>
              <w:ind w:right="0" w:rightChars="0"/>
              <w:jc w:val="center"/>
              <w:textAlignment w:val="auto"/>
              <w:rPr>
                <w:kern w:val="0"/>
                <w:highlight w:val="none"/>
              </w:rPr>
            </w:pPr>
            <w:r>
              <w:rPr>
                <w:color w:val="000000"/>
                <w:kern w:val="0"/>
                <w:szCs w:val="21"/>
                <w:highlight w:val="none"/>
              </w:rPr>
              <w:t>认购/申购起点金额</w:t>
            </w:r>
          </w:p>
        </w:tc>
        <w:tc>
          <w:tcPr>
            <w:tcW w:w="6837" w:type="dxa"/>
            <w:tcBorders>
              <w:top w:val="single" w:color="auto" w:sz="4" w:space="0"/>
              <w:left w:val="single" w:color="auto" w:sz="4" w:space="0"/>
              <w:bottom w:val="single" w:color="auto" w:sz="4" w:space="0"/>
              <w:right w:val="single" w:color="auto" w:sz="4" w:space="0"/>
            </w:tcBorders>
            <w:vAlign w:val="center"/>
          </w:tcPr>
          <w:p>
            <w:pPr>
              <w:spacing w:beforeLines="0" w:afterLines="0" w:line="360" w:lineRule="auto"/>
              <w:rPr>
                <w:kern w:val="44"/>
                <w:highlight w:val="none"/>
                <w:lang w:bidi="ar"/>
              </w:rPr>
            </w:pPr>
            <w:r>
              <w:rPr>
                <w:rFonts w:ascii="Times New Roman" w:hAnsi="Times New Roman" w:eastAsia="宋体" w:cs="Times New Roman"/>
                <w:color w:val="000000"/>
                <w:kern w:val="2"/>
                <w:sz w:val="21"/>
                <w:szCs w:val="24"/>
                <w:highlight w:val="none"/>
                <w:lang w:val="en-US" w:eastAsia="zh-CN" w:bidi="ar-SA"/>
              </w:rPr>
              <w:t>M份额：【1】元。</w:t>
            </w:r>
            <w:r>
              <w:rPr>
                <w:rFonts w:ascii="Times New Roman" w:hAnsi="Times New Roman" w:cs="Times New Roman"/>
                <w:kern w:val="0"/>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584" w:type="dxa"/>
            <w:tcBorders>
              <w:top w:val="single" w:color="auto" w:sz="4" w:space="0"/>
              <w:left w:val="single" w:color="auto" w:sz="4" w:space="0"/>
              <w:bottom w:val="single" w:color="auto" w:sz="4" w:space="0"/>
              <w:right w:val="single" w:color="auto" w:sz="4" w:space="0"/>
            </w:tcBorders>
            <w:vAlign w:val="center"/>
          </w:tcPr>
          <w:p>
            <w:pPr>
              <w:keepLines w:val="0"/>
              <w:pageBreakBefore w:val="0"/>
              <w:kinsoku/>
              <w:wordWrap/>
              <w:overflowPunct/>
              <w:topLinePunct w:val="0"/>
              <w:bidi w:val="0"/>
              <w:spacing w:beforeLines="0" w:afterLines="0" w:line="360" w:lineRule="auto"/>
              <w:ind w:right="0" w:rightChars="0"/>
              <w:jc w:val="center"/>
              <w:textAlignment w:val="auto"/>
              <w:rPr>
                <w:kern w:val="0"/>
                <w:highlight w:val="none"/>
              </w:rPr>
            </w:pPr>
            <w:r>
              <w:rPr>
                <w:color w:val="000000"/>
                <w:kern w:val="0"/>
                <w:szCs w:val="21"/>
                <w:highlight w:val="none"/>
              </w:rPr>
              <w:t>认购/申购递增金额</w:t>
            </w:r>
          </w:p>
        </w:tc>
        <w:tc>
          <w:tcPr>
            <w:tcW w:w="6837" w:type="dxa"/>
            <w:tcBorders>
              <w:top w:val="single" w:color="auto" w:sz="4" w:space="0"/>
              <w:left w:val="single" w:color="auto" w:sz="4" w:space="0"/>
              <w:bottom w:val="single" w:color="auto" w:sz="4" w:space="0"/>
              <w:right w:val="single" w:color="auto" w:sz="4" w:space="0"/>
            </w:tcBorders>
            <w:vAlign w:val="center"/>
          </w:tcPr>
          <w:p>
            <w:pPr>
              <w:spacing w:beforeLines="0" w:afterLines="0" w:line="360" w:lineRule="auto"/>
              <w:rPr>
                <w:kern w:val="44"/>
                <w:highlight w:val="none"/>
                <w:lang w:bidi="ar"/>
              </w:rPr>
            </w:pPr>
            <w:bookmarkStart w:id="8" w:name="Text4"/>
            <w:r>
              <w:rPr>
                <w:rFonts w:ascii="Times New Roman" w:hAnsi="Times New Roman" w:eastAsia="宋体" w:cs="Times New Roman"/>
                <w:color w:val="000000"/>
                <w:kern w:val="2"/>
                <w:sz w:val="21"/>
                <w:szCs w:val="24"/>
                <w:highlight w:val="none"/>
                <w:lang w:val="en-US" w:eastAsia="zh-CN" w:bidi="ar-SA"/>
              </w:rPr>
              <w:t>M份额：【1】元。</w:t>
            </w:r>
            <w:bookmarkEnd w:id="8"/>
            <w:r>
              <w:rPr>
                <w:rFonts w:ascii="Times New Roman" w:hAnsi="Times New Roman" w:cs="Times New Roman"/>
                <w:kern w:val="0"/>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584" w:type="dxa"/>
            <w:tcBorders>
              <w:top w:val="single" w:color="auto" w:sz="4" w:space="0"/>
              <w:left w:val="single" w:color="auto" w:sz="4" w:space="0"/>
              <w:bottom w:val="single" w:color="auto" w:sz="4" w:space="0"/>
              <w:right w:val="single" w:color="auto" w:sz="4" w:space="0"/>
            </w:tcBorders>
            <w:vAlign w:val="center"/>
          </w:tcPr>
          <w:p>
            <w:pPr>
              <w:keepLines w:val="0"/>
              <w:pageBreakBefore w:val="0"/>
              <w:kinsoku/>
              <w:wordWrap/>
              <w:overflowPunct/>
              <w:topLinePunct w:val="0"/>
              <w:bidi w:val="0"/>
              <w:spacing w:beforeLines="0" w:afterLines="0" w:line="360" w:lineRule="auto"/>
              <w:ind w:right="0" w:rightChars="0"/>
              <w:jc w:val="center"/>
              <w:textAlignment w:val="auto"/>
              <w:rPr>
                <w:kern w:val="0"/>
                <w:highlight w:val="none"/>
              </w:rPr>
            </w:pPr>
            <w:r>
              <w:rPr>
                <w:color w:val="000000"/>
                <w:kern w:val="0"/>
                <w:szCs w:val="21"/>
                <w:highlight w:val="none"/>
              </w:rPr>
              <w:t>最小赎回份额</w:t>
            </w:r>
          </w:p>
        </w:tc>
        <w:tc>
          <w:tcPr>
            <w:tcW w:w="6837" w:type="dxa"/>
            <w:tcBorders>
              <w:top w:val="single" w:color="auto" w:sz="4" w:space="0"/>
              <w:left w:val="single" w:color="auto" w:sz="4" w:space="0"/>
              <w:bottom w:val="single" w:color="auto" w:sz="4" w:space="0"/>
              <w:right w:val="single" w:color="auto" w:sz="4" w:space="0"/>
            </w:tcBorders>
            <w:vAlign w:val="center"/>
          </w:tcPr>
          <w:p>
            <w:pPr>
              <w:spacing w:beforeLines="0" w:afterLines="0" w:line="360" w:lineRule="auto"/>
              <w:rPr>
                <w:kern w:val="44"/>
                <w:highlight w:val="none"/>
                <w:lang w:bidi="ar"/>
              </w:rPr>
            </w:pPr>
            <w:r>
              <w:rPr>
                <w:rFonts w:ascii="Times New Roman" w:hAnsi="Times New Roman" w:eastAsia="宋体" w:cs="Times New Roman"/>
                <w:color w:val="000000"/>
                <w:kern w:val="2"/>
                <w:sz w:val="21"/>
                <w:szCs w:val="24"/>
                <w:highlight w:val="none"/>
                <w:lang w:val="en-US" w:eastAsia="zh-CN" w:bidi="ar-SA"/>
              </w:rPr>
              <w:t>M份额：【0.01】份。</w:t>
            </w:r>
            <w:r>
              <w:rPr>
                <w:rFonts w:ascii="Times New Roman" w:hAnsi="Times New Roman" w:cs="Times New Roman"/>
                <w:kern w:val="0"/>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584" w:type="dxa"/>
            <w:tcBorders>
              <w:top w:val="single" w:color="auto" w:sz="4" w:space="0"/>
              <w:left w:val="single" w:color="auto" w:sz="4" w:space="0"/>
              <w:bottom w:val="single" w:color="auto" w:sz="4" w:space="0"/>
              <w:right w:val="single" w:color="auto" w:sz="4" w:space="0"/>
            </w:tcBorders>
            <w:vAlign w:val="center"/>
          </w:tcPr>
          <w:p>
            <w:pPr>
              <w:keepLines w:val="0"/>
              <w:pageBreakBefore w:val="0"/>
              <w:kinsoku/>
              <w:wordWrap/>
              <w:overflowPunct/>
              <w:topLinePunct w:val="0"/>
              <w:bidi w:val="0"/>
              <w:spacing w:beforeLines="0" w:afterLines="0" w:line="360" w:lineRule="auto"/>
              <w:ind w:right="0" w:rightChars="0"/>
              <w:jc w:val="center"/>
              <w:textAlignment w:val="auto"/>
              <w:rPr>
                <w:kern w:val="0"/>
                <w:highlight w:val="none"/>
              </w:rPr>
            </w:pPr>
            <w:r>
              <w:rPr>
                <w:color w:val="000000"/>
                <w:kern w:val="0"/>
                <w:szCs w:val="21"/>
                <w:highlight w:val="none"/>
              </w:rPr>
              <w:t>最低持有份额</w:t>
            </w:r>
          </w:p>
        </w:tc>
        <w:tc>
          <w:tcPr>
            <w:tcW w:w="6837" w:type="dxa"/>
            <w:tcBorders>
              <w:top w:val="single" w:color="auto" w:sz="4" w:space="0"/>
              <w:left w:val="single" w:color="auto" w:sz="4" w:space="0"/>
              <w:bottom w:val="single" w:color="auto" w:sz="4" w:space="0"/>
              <w:right w:val="single" w:color="auto" w:sz="4" w:space="0"/>
            </w:tcBorders>
            <w:vAlign w:val="center"/>
          </w:tcPr>
          <w:p>
            <w:pPr>
              <w:spacing w:beforeLines="0" w:afterLines="0" w:line="360" w:lineRule="auto"/>
              <w:rPr>
                <w:kern w:val="44"/>
                <w:highlight w:val="none"/>
                <w:lang w:bidi="ar"/>
              </w:rPr>
            </w:pPr>
            <w:bookmarkStart w:id="9" w:name="Text6"/>
            <w:r>
              <w:rPr>
                <w:rFonts w:ascii="Times New Roman" w:hAnsi="Times New Roman" w:eastAsia="宋体" w:cs="Times New Roman"/>
                <w:color w:val="000000"/>
                <w:kern w:val="2"/>
                <w:sz w:val="21"/>
                <w:szCs w:val="24"/>
                <w:highlight w:val="none"/>
                <w:lang w:val="en-US" w:eastAsia="zh-CN" w:bidi="ar-SA"/>
              </w:rPr>
              <w:t>M份额：【0.01】份。</w:t>
            </w:r>
            <w:bookmarkEnd w:id="9"/>
            <w:r>
              <w:rPr>
                <w:rFonts w:ascii="Times New Roman" w:hAnsi="Times New Roman" w:cs="Times New Roman"/>
                <w:kern w:val="0"/>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584" w:type="dxa"/>
            <w:tcBorders>
              <w:top w:val="single" w:color="auto" w:sz="4" w:space="0"/>
              <w:left w:val="single" w:color="auto" w:sz="4" w:space="0"/>
              <w:bottom w:val="single" w:color="auto" w:sz="4" w:space="0"/>
              <w:right w:val="single" w:color="auto" w:sz="4" w:space="0"/>
            </w:tcBorders>
            <w:vAlign w:val="center"/>
          </w:tcPr>
          <w:p>
            <w:pPr>
              <w:keepLines w:val="0"/>
              <w:pageBreakBefore w:val="0"/>
              <w:kinsoku/>
              <w:wordWrap/>
              <w:overflowPunct/>
              <w:topLinePunct w:val="0"/>
              <w:bidi w:val="0"/>
              <w:spacing w:beforeLines="0" w:afterLines="0" w:line="360" w:lineRule="auto"/>
              <w:ind w:right="0" w:rightChars="0"/>
              <w:jc w:val="center"/>
              <w:textAlignment w:val="auto"/>
              <w:rPr>
                <w:kern w:val="0"/>
                <w:highlight w:val="none"/>
              </w:rPr>
            </w:pPr>
            <w:r>
              <w:rPr>
                <w:color w:val="000000"/>
                <w:kern w:val="0"/>
                <w:szCs w:val="21"/>
                <w:highlight w:val="none"/>
              </w:rPr>
              <w:t>认购/申购</w:t>
            </w:r>
            <w:r>
              <w:rPr>
                <w:rFonts w:hint="eastAsia"/>
                <w:color w:val="000000"/>
                <w:kern w:val="0"/>
                <w:szCs w:val="21"/>
                <w:highlight w:val="none"/>
                <w:lang w:eastAsia="zh-CN"/>
              </w:rPr>
              <w:t>金额限制</w:t>
            </w:r>
          </w:p>
        </w:tc>
        <w:tc>
          <w:tcPr>
            <w:tcW w:w="68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0" w:firstLineChars="0"/>
              <w:jc w:val="both"/>
              <w:textAlignment w:val="auto"/>
              <w:outlineLvl w:val="9"/>
              <w:rPr>
                <w:rFonts w:hint="eastAsia" w:ascii="Times New Roman" w:hAnsi="Times New Roman"/>
                <w:color w:val="000000"/>
                <w:kern w:val="2"/>
                <w:sz w:val="21"/>
                <w:szCs w:val="24"/>
                <w:highlight w:val="none"/>
                <w:lang w:val="en-US" w:eastAsia="zh-CN" w:bidi="ar-SA"/>
              </w:rPr>
            </w:pPr>
            <w:bookmarkStart w:id="10" w:name="Text43"/>
            <w:r>
              <w:rPr>
                <w:rFonts w:hint="eastAsia" w:ascii="Times New Roman" w:hAnsi="Times New Roman" w:eastAsia="宋体" w:cs="Times New Roman"/>
                <w:color w:val="000000"/>
                <w:kern w:val="2"/>
                <w:sz w:val="21"/>
                <w:szCs w:val="24"/>
                <w:highlight w:val="none"/>
                <w:lang w:val="en-US" w:eastAsia="zh-CN" w:bidi="ar-SA"/>
              </w:rPr>
              <w:t>M份额：无限制。</w:t>
            </w:r>
          </w:p>
          <w:p>
            <w:pPr>
              <w:keepLines w:val="0"/>
              <w:pageBreakBefore w:val="0"/>
              <w:kinsoku/>
              <w:wordWrap/>
              <w:overflowPunct/>
              <w:topLinePunct w:val="0"/>
              <w:bidi w:val="0"/>
              <w:spacing w:beforeLines="0" w:afterLines="0" w:line="360" w:lineRule="auto"/>
              <w:ind w:right="0" w:rightChars="0"/>
              <w:textAlignment w:val="auto"/>
              <w:rPr>
                <w:kern w:val="44"/>
                <w:highlight w:val="none"/>
                <w:lang w:bidi="ar"/>
              </w:rPr>
            </w:pPr>
            <w:r>
              <w:rPr>
                <w:rFonts w:hint="eastAsia" w:ascii="Times New Roman" w:hAnsi="Times New Roman" w:eastAsia="宋体" w:cs="Times New Roman"/>
                <w:kern w:val="0"/>
                <w:sz w:val="21"/>
                <w:szCs w:val="24"/>
                <w:highlight w:val="none"/>
                <w:lang w:val="en-US" w:eastAsia="zh-CN" w:bidi="ar-SA"/>
              </w:rPr>
              <w:t>管理人可对认购/申购金额限制进行调整，并以公告方式进行信息披露。</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584" w:type="dxa"/>
            <w:tcBorders>
              <w:top w:val="single" w:color="auto" w:sz="4" w:space="0"/>
              <w:left w:val="single" w:color="auto" w:sz="4" w:space="0"/>
              <w:bottom w:val="single" w:color="auto" w:sz="4" w:space="0"/>
              <w:right w:val="single" w:color="auto" w:sz="4" w:space="0"/>
            </w:tcBorders>
            <w:vAlign w:val="center"/>
          </w:tcPr>
          <w:p>
            <w:pPr>
              <w:keepLines w:val="0"/>
              <w:pageBreakBefore w:val="0"/>
              <w:kinsoku/>
              <w:wordWrap/>
              <w:overflowPunct/>
              <w:topLinePunct w:val="0"/>
              <w:bidi w:val="0"/>
              <w:spacing w:beforeLines="0" w:afterLines="0" w:line="360" w:lineRule="auto"/>
              <w:ind w:right="0" w:rightChars="0"/>
              <w:jc w:val="center"/>
              <w:textAlignment w:val="auto"/>
              <w:rPr>
                <w:kern w:val="0"/>
                <w:highlight w:val="none"/>
              </w:rPr>
            </w:pPr>
            <w:r>
              <w:rPr>
                <w:color w:val="000000"/>
                <w:kern w:val="0"/>
                <w:szCs w:val="21"/>
                <w:highlight w:val="none"/>
              </w:rPr>
              <w:t>赎回</w:t>
            </w:r>
            <w:r>
              <w:rPr>
                <w:rFonts w:hint="eastAsia"/>
                <w:color w:val="000000"/>
                <w:kern w:val="0"/>
                <w:szCs w:val="21"/>
                <w:highlight w:val="none"/>
                <w:lang w:eastAsia="zh-CN"/>
              </w:rPr>
              <w:t>份额限制</w:t>
            </w:r>
          </w:p>
        </w:tc>
        <w:tc>
          <w:tcPr>
            <w:tcW w:w="68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0" w:firstLineChars="0"/>
              <w:jc w:val="both"/>
              <w:textAlignment w:val="auto"/>
              <w:outlineLvl w:val="9"/>
              <w:rPr>
                <w:rFonts w:hint="eastAsia" w:ascii="Times New Roman" w:hAnsi="Times New Roman"/>
                <w:color w:val="000000"/>
                <w:kern w:val="2"/>
                <w:sz w:val="21"/>
                <w:szCs w:val="24"/>
                <w:highlight w:val="none"/>
                <w:lang w:val="en-US" w:eastAsia="zh-CN" w:bidi="ar-SA"/>
              </w:rPr>
            </w:pPr>
            <w:bookmarkStart w:id="11" w:name="Text40"/>
            <w:r>
              <w:rPr>
                <w:rFonts w:hint="eastAsia" w:ascii="Times New Roman" w:hAnsi="Times New Roman" w:eastAsia="宋体" w:cs="Times New Roman"/>
                <w:color w:val="000000"/>
                <w:kern w:val="2"/>
                <w:sz w:val="21"/>
                <w:szCs w:val="24"/>
                <w:highlight w:val="none"/>
                <w:lang w:val="en-US" w:eastAsia="zh-CN" w:bidi="ar-SA"/>
              </w:rPr>
              <w:t>M份额：无限制。</w:t>
            </w:r>
            <w:bookmarkEnd w:id="11"/>
          </w:p>
          <w:p>
            <w:pPr>
              <w:spacing w:beforeLines="0" w:afterLines="0" w:line="360" w:lineRule="auto"/>
              <w:rPr>
                <w:kern w:val="44"/>
                <w:highlight w:val="none"/>
                <w:lang w:bidi="ar"/>
              </w:rPr>
            </w:pPr>
            <w:r>
              <w:rPr>
                <w:rFonts w:hint="eastAsia" w:ascii="Times New Roman" w:hAnsi="Times New Roman" w:eastAsia="宋体" w:cs="Times New Roman"/>
                <w:kern w:val="0"/>
                <w:sz w:val="21"/>
                <w:szCs w:val="24"/>
                <w:highlight w:val="none"/>
                <w:lang w:val="en-US" w:eastAsia="zh-CN" w:bidi="ar-SA"/>
              </w:rPr>
              <w:t>管理人可对赎回份额限制进行调整，并以公告方式进行信息披露。</w:t>
            </w:r>
            <w:r>
              <w:rPr>
                <w:b/>
                <w:bCs/>
                <w:highlight w:val="none"/>
              </w:rPr>
              <w:t>如发生巨额赎回，</w:t>
            </w:r>
            <w:r>
              <w:rPr>
                <w:rFonts w:hint="eastAsia"/>
                <w:b/>
                <w:bCs/>
                <w:highlight w:val="none"/>
                <w:lang w:eastAsia="zh-CN"/>
              </w:rPr>
              <w:t>则</w:t>
            </w:r>
            <w:r>
              <w:rPr>
                <w:b/>
                <w:bCs/>
                <w:highlight w:val="none"/>
              </w:rPr>
              <w:t>按照理财产品合同约定的巨额赎回处理。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584" w:type="dxa"/>
            <w:tcBorders>
              <w:top w:val="single" w:color="auto" w:sz="4" w:space="0"/>
              <w:left w:val="single" w:color="auto" w:sz="4" w:space="0"/>
              <w:bottom w:val="single" w:color="auto" w:sz="4" w:space="0"/>
              <w:right w:val="single" w:color="auto" w:sz="4" w:space="0"/>
            </w:tcBorders>
            <w:vAlign w:val="center"/>
          </w:tcPr>
          <w:p>
            <w:pPr>
              <w:keepLines w:val="0"/>
              <w:pageBreakBefore w:val="0"/>
              <w:kinsoku/>
              <w:wordWrap/>
              <w:overflowPunct/>
              <w:topLinePunct w:val="0"/>
              <w:bidi w:val="0"/>
              <w:spacing w:beforeLines="0" w:afterLines="0" w:line="360" w:lineRule="auto"/>
              <w:ind w:right="0" w:rightChars="0"/>
              <w:jc w:val="center"/>
              <w:textAlignment w:val="auto"/>
              <w:rPr>
                <w:kern w:val="0"/>
                <w:highlight w:val="none"/>
              </w:rPr>
            </w:pPr>
            <w:r>
              <w:rPr>
                <w:color w:val="000000"/>
                <w:kern w:val="0"/>
                <w:szCs w:val="21"/>
                <w:highlight w:val="none"/>
              </w:rPr>
              <w:t>业绩比较基准</w:t>
            </w:r>
          </w:p>
        </w:tc>
        <w:tc>
          <w:tcPr>
            <w:tcW w:w="6837" w:type="dxa"/>
            <w:tcBorders>
              <w:top w:val="single" w:color="auto" w:sz="4" w:space="0"/>
              <w:left w:val="single" w:color="auto" w:sz="4" w:space="0"/>
              <w:bottom w:val="single" w:color="auto" w:sz="4" w:space="0"/>
              <w:right w:val="single" w:color="auto" w:sz="4" w:space="0"/>
            </w:tcBorders>
            <w:vAlign w:val="center"/>
          </w:tcPr>
          <w:p>
            <w:pPr>
              <w:pStyle w:val="2"/>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default" w:ascii="宋体" w:hAnsi="Courier New" w:cs="Times New Roman"/>
                <w:kern w:val="2"/>
                <w:sz w:val="21"/>
                <w:szCs w:val="24"/>
                <w:highlight w:val="none"/>
                <w:lang w:val="en-US" w:eastAsia="zh-CN" w:bidi="ar-SA"/>
              </w:rPr>
            </w:pPr>
            <w:bookmarkStart w:id="12" w:name="Text77"/>
            <w:r>
              <w:rPr>
                <w:rFonts w:hint="default" w:ascii="宋体" w:hAnsi="Courier New" w:eastAsia="宋体" w:cs="Times New Roman"/>
                <w:kern w:val="44"/>
                <w:sz w:val="21"/>
                <w:szCs w:val="24"/>
                <w:highlight w:val="none"/>
                <w:lang w:val="en-US" w:eastAsia="zh-CN" w:bidi="ar-SA"/>
              </w:rPr>
              <w:t>M份额：2.20%-2.80%（年化）</w:t>
            </w:r>
            <w:bookmarkEnd w:id="12"/>
          </w:p>
          <w:p>
            <w:pPr>
              <w:pStyle w:val="2"/>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kern w:val="44"/>
                <w:highlight w:val="none"/>
                <w:lang w:bidi="ar"/>
              </w:rPr>
            </w:pPr>
            <w:bookmarkStart w:id="13" w:name="Text80"/>
            <w:r>
              <w:rPr>
                <w:rFonts w:hint="default" w:ascii="Times New Roman" w:hAnsi="Times New Roman" w:eastAsia="宋体" w:cs="Times New Roman"/>
                <w:kern w:val="0"/>
                <w:sz w:val="21"/>
                <w:szCs w:val="24"/>
                <w:highlight w:val="none"/>
                <w:lang w:val="en-US" w:eastAsia="zh-CN" w:bidi="ar-SA"/>
              </w:rPr>
              <w:t>业绩比较基准不是预期收益率，不代表产品的未来表现和实际收益，不构成对产品收益的承诺。本理财产品计划投资于固定收益类资产的比例不低于85%；投资于优先股、应纳入权益类资产的永续债等权益类资产的比例不超过10%；投资于商品及金融衍生品类资产的比例不超过5%。本业绩比较基准由管理人依据理财产品的投资范围及比例、投资策略、收益测算、产品费用，并综合考量市场环境等因素制定。</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584" w:type="dxa"/>
            <w:tcBorders>
              <w:top w:val="single" w:color="auto" w:sz="4" w:space="0"/>
              <w:left w:val="single" w:color="auto" w:sz="4" w:space="0"/>
              <w:bottom w:val="single" w:color="auto" w:sz="4" w:space="0"/>
              <w:right w:val="single" w:color="auto" w:sz="4" w:space="0"/>
            </w:tcBorders>
            <w:vAlign w:val="center"/>
          </w:tcPr>
          <w:p>
            <w:pPr>
              <w:spacing w:beforeLines="0" w:afterLines="0" w:line="360" w:lineRule="auto"/>
              <w:jc w:val="center"/>
              <w:rPr>
                <w:color w:val="000000"/>
                <w:kern w:val="0"/>
                <w:szCs w:val="21"/>
                <w:highlight w:val="none"/>
              </w:rPr>
            </w:pPr>
            <w:r>
              <w:rPr>
                <w:rFonts w:ascii="Times New Roman" w:hAnsi="Times New Roman" w:cs="Times New Roman"/>
                <w:color w:val="000000"/>
                <w:kern w:val="0"/>
                <w:szCs w:val="21"/>
                <w:highlight w:val="none"/>
              </w:rPr>
              <w:t>产品费用</w:t>
            </w:r>
          </w:p>
        </w:tc>
        <w:tc>
          <w:tcPr>
            <w:tcW w:w="6837" w:type="dxa"/>
            <w:tcBorders>
              <w:top w:val="single" w:color="auto" w:sz="4" w:space="0"/>
              <w:left w:val="single" w:color="auto" w:sz="4" w:space="0"/>
              <w:bottom w:val="single" w:color="auto" w:sz="4" w:space="0"/>
              <w:right w:val="single" w:color="auto" w:sz="4" w:space="0"/>
            </w:tcBorders>
            <w:vAlign w:val="center"/>
          </w:tcPr>
          <w:p>
            <w:pPr>
              <w:spacing w:beforeLines="0" w:afterLines="0" w:line="360" w:lineRule="auto"/>
              <w:rPr>
                <w:rFonts w:ascii="Times New Roman" w:hAnsi="Times New Roman" w:cs="Times New Roman"/>
                <w:kern w:val="0"/>
                <w:highlight w:val="none"/>
              </w:rPr>
            </w:pPr>
            <w:r>
              <w:rPr>
                <w:rFonts w:ascii="Times New Roman" w:hAnsi="Times New Roman" w:cs="Times New Roman"/>
                <w:kern w:val="0"/>
                <w:highlight w:val="none"/>
              </w:rPr>
              <w:t>1. 固定管理费率：</w:t>
            </w:r>
            <w:r>
              <w:rPr>
                <w:rFonts w:ascii="Times New Roman" w:hAnsi="Times New Roman" w:eastAsia="宋体" w:cs="Times New Roman"/>
                <w:kern w:val="0"/>
                <w:sz w:val="21"/>
                <w:szCs w:val="24"/>
                <w:highlight w:val="none"/>
                <w:lang w:val="en-US" w:eastAsia="zh-CN" w:bidi="ar-SA"/>
              </w:rPr>
              <w:t>【0.30】%/年</w:t>
            </w:r>
          </w:p>
          <w:p>
            <w:pPr>
              <w:spacing w:beforeLines="0" w:afterLines="0" w:line="360" w:lineRule="auto"/>
              <w:rPr>
                <w:rFonts w:ascii="Times New Roman" w:hAnsi="Times New Roman" w:cs="Times New Roman"/>
                <w:kern w:val="0"/>
                <w:highlight w:val="none"/>
              </w:rPr>
            </w:pPr>
            <w:r>
              <w:rPr>
                <w:rFonts w:ascii="Times New Roman" w:hAnsi="Times New Roman" w:cs="Times New Roman"/>
                <w:kern w:val="0"/>
                <w:highlight w:val="none"/>
              </w:rPr>
              <w:t>2. 销售费率：</w:t>
            </w:r>
            <w:bookmarkStart w:id="14" w:name="Text14"/>
            <w:r>
              <w:rPr>
                <w:rFonts w:ascii="Times New Roman" w:hAnsi="Times New Roman" w:eastAsia="宋体" w:cs="Times New Roman"/>
                <w:kern w:val="0"/>
                <w:sz w:val="21"/>
                <w:szCs w:val="24"/>
                <w:highlight w:val="none"/>
                <w:lang w:val="en-US" w:eastAsia="zh-CN" w:bidi="ar-SA"/>
              </w:rPr>
              <w:t>【0.30】%/年</w:t>
            </w:r>
            <w:bookmarkEnd w:id="14"/>
          </w:p>
          <w:p>
            <w:pPr>
              <w:spacing w:beforeLines="0" w:afterLines="0" w:line="360" w:lineRule="auto"/>
              <w:rPr>
                <w:rFonts w:ascii="Times New Roman" w:hAnsi="Times New Roman" w:cs="Times New Roman"/>
                <w:kern w:val="0"/>
                <w:highlight w:val="none"/>
              </w:rPr>
            </w:pPr>
            <w:r>
              <w:rPr>
                <w:rFonts w:ascii="Times New Roman" w:hAnsi="Times New Roman" w:cs="Times New Roman"/>
                <w:kern w:val="0"/>
                <w:highlight w:val="none"/>
              </w:rPr>
              <w:t>3. 托管费率：</w:t>
            </w:r>
            <w:r>
              <w:rPr>
                <w:rFonts w:ascii="Times New Roman" w:hAnsi="Times New Roman" w:cs="Times New Roman"/>
                <w:kern w:val="0"/>
                <w:sz w:val="21"/>
                <w:szCs w:val="24"/>
                <w:highlight w:val="none"/>
                <w:lang w:val="en-US" w:eastAsia="zh-CN" w:bidi="ar-SA"/>
              </w:rPr>
              <w:t>【0.03】%/年</w:t>
            </w:r>
          </w:p>
          <w:p>
            <w:pPr>
              <w:spacing w:beforeLines="0" w:afterLines="0" w:line="360" w:lineRule="auto"/>
              <w:rPr>
                <w:rFonts w:hint="default"/>
                <w:kern w:val="44"/>
                <w:sz w:val="21"/>
                <w:szCs w:val="24"/>
                <w:highlight w:val="none"/>
                <w:lang w:val="en-US" w:eastAsia="zh-CN" w:bidi="ar-SA"/>
              </w:rPr>
            </w:pPr>
            <w:r>
              <w:rPr>
                <w:rFonts w:hint="default" w:ascii="Times New Roman" w:hAnsi="Times New Roman" w:cs="Times New Roman"/>
                <w:highlight w:val="none"/>
                <w:lang w:val="en-US" w:eastAsia="zh-CN"/>
              </w:rPr>
              <w:t>4</w:t>
            </w:r>
            <w:r>
              <w:rPr>
                <w:rFonts w:ascii="Times New Roman" w:hAnsi="Times New Roman" w:cs="Times New Roman"/>
                <w:b/>
                <w:bCs/>
                <w:color w:val="000000"/>
                <w:kern w:val="0"/>
                <w:szCs w:val="21"/>
                <w:highlight w:val="none"/>
              </w:rPr>
              <w:t xml:space="preserve">. </w:t>
            </w:r>
            <w:r>
              <w:rPr>
                <w:rFonts w:ascii="Times New Roman" w:hAnsi="Times New Roman" w:cs="Times New Roman"/>
                <w:color w:val="000000"/>
                <w:kern w:val="0"/>
                <w:szCs w:val="21"/>
                <w:highlight w:val="none"/>
              </w:rPr>
              <w:t>其他费用：</w:t>
            </w:r>
            <w:r>
              <w:rPr>
                <w:rFonts w:ascii="Times New Roman" w:hAnsi="Times New Roman" w:cs="Times New Roman"/>
                <w:color w:val="000000"/>
                <w:kern w:val="44"/>
                <w:szCs w:val="21"/>
                <w:highlight w:val="none"/>
              </w:rPr>
              <w:t>会计师费、律师费、交易费、手续费等按照国家有关法令规定属于理财资产应列支和承担的一切费用，具体以实际发生为准，按相关法令规定或合同约定支付。</w:t>
            </w:r>
          </w:p>
        </w:tc>
      </w:tr>
    </w:tbl>
    <w:p>
      <w:pPr>
        <w:keepNext w:val="0"/>
        <w:keepLines w:val="0"/>
        <w:pageBreakBefore w:val="0"/>
        <w:tabs>
          <w:tab w:val="left" w:pos="1470"/>
        </w:tabs>
        <w:kinsoku/>
        <w:wordWrap/>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bCs/>
          <w:kern w:val="2"/>
          <w:sz w:val="21"/>
          <w:szCs w:val="21"/>
          <w:lang w:val="en-US" w:eastAsia="zh-CN" w:bidi="ar-SA"/>
        </w:rPr>
      </w:pPr>
    </w:p>
    <w:p>
      <w:pPr>
        <w:keepNext w:val="0"/>
        <w:keepLines w:val="0"/>
        <w:pageBreakBefore w:val="0"/>
        <w:kinsoku/>
        <w:wordWrap/>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bCs/>
          <w:kern w:val="2"/>
          <w:sz w:val="21"/>
          <w:szCs w:val="21"/>
          <w:lang w:val="en-US" w:eastAsia="zh-CN" w:bidi="ar-SA"/>
        </w:rPr>
      </w:pPr>
      <w:bookmarkStart w:id="15" w:name="Text5"/>
      <w:r>
        <w:rPr>
          <w:rFonts w:hint="eastAsia" w:ascii="宋体" w:hAnsi="宋体" w:eastAsia="宋体" w:cs="宋体"/>
          <w:b w:val="0"/>
          <w:bCs/>
          <w:kern w:val="2"/>
          <w:sz w:val="21"/>
          <w:szCs w:val="21"/>
          <w:lang w:val="en-US" w:eastAsia="zh-CN" w:bidi="ar-SA"/>
        </w:rPr>
        <w:t>二、根据《理财公司理财产品销售管理暂行办法》的相关要求，同步更新本理财产品的代理销售机构信息：</w:t>
      </w:r>
      <w:bookmarkEnd w:id="15"/>
    </w:p>
    <w:p>
      <w:pPr>
        <w:keepLines w:val="0"/>
        <w:pageBreakBefore w:val="0"/>
        <w:kinsoku/>
        <w:wordWrap/>
        <w:overflowPunct/>
        <w:topLinePunct w:val="0"/>
        <w:bidi w:val="0"/>
        <w:spacing w:beforeLines="0" w:afterLines="0" w:line="360" w:lineRule="auto"/>
        <w:ind w:right="0" w:rightChars="0" w:firstLine="420" w:firstLineChars="200"/>
        <w:textAlignment w:val="auto"/>
        <w:rPr>
          <w:rFonts w:hint="eastAsia"/>
          <w:highlight w:val="none"/>
          <w:lang w:bidi="ar"/>
        </w:rPr>
      </w:pPr>
      <w:r>
        <w:rPr>
          <w:rFonts w:hint="eastAsia"/>
          <w:kern w:val="2"/>
          <w:sz w:val="21"/>
          <w:szCs w:val="24"/>
          <w:highlight w:val="none"/>
          <w:lang w:val="en-US" w:eastAsia="zh-CN" w:bidi="ar"/>
        </w:rPr>
        <w:t>机构名称：兴业银行股份有限公司</w:t>
      </w:r>
    </w:p>
    <w:p>
      <w:pPr>
        <w:keepLines w:val="0"/>
        <w:pageBreakBefore w:val="0"/>
        <w:kinsoku/>
        <w:wordWrap/>
        <w:overflowPunct/>
        <w:topLinePunct w:val="0"/>
        <w:bidi w:val="0"/>
        <w:spacing w:beforeLines="0" w:afterLines="0" w:line="360" w:lineRule="auto"/>
        <w:ind w:right="0" w:rightChars="0" w:firstLine="420" w:firstLineChars="200"/>
        <w:textAlignment w:val="auto"/>
        <w:rPr>
          <w:rFonts w:hint="eastAsia"/>
          <w:highlight w:val="none"/>
          <w:lang w:bidi="ar"/>
        </w:rPr>
      </w:pPr>
      <w:r>
        <w:rPr>
          <w:rFonts w:hint="eastAsia"/>
          <w:kern w:val="2"/>
          <w:sz w:val="21"/>
          <w:szCs w:val="24"/>
          <w:highlight w:val="none"/>
          <w:lang w:val="en-US" w:eastAsia="zh-CN" w:bidi="ar"/>
        </w:rPr>
        <w:t>注册地址：福建省福州市台江区江滨中大道398号兴业银行大厦</w:t>
      </w:r>
    </w:p>
    <w:p>
      <w:pPr>
        <w:keepLines w:val="0"/>
        <w:pageBreakBefore w:val="0"/>
        <w:kinsoku/>
        <w:wordWrap/>
        <w:overflowPunct/>
        <w:topLinePunct w:val="0"/>
        <w:bidi w:val="0"/>
        <w:spacing w:beforeLines="0" w:afterLines="0" w:line="360" w:lineRule="auto"/>
        <w:ind w:right="0" w:rightChars="0" w:firstLine="420" w:firstLineChars="200"/>
        <w:textAlignment w:val="auto"/>
        <w:rPr>
          <w:rFonts w:hint="default"/>
          <w:kern w:val="2"/>
          <w:sz w:val="21"/>
          <w:szCs w:val="24"/>
          <w:highlight w:val="none"/>
          <w:lang w:val="en-US" w:eastAsia="zh-CN" w:bidi="ar"/>
        </w:rPr>
      </w:pPr>
      <w:r>
        <w:rPr>
          <w:rFonts w:hint="default"/>
          <w:kern w:val="2"/>
          <w:sz w:val="21"/>
          <w:szCs w:val="24"/>
          <w:highlight w:val="none"/>
          <w:lang w:val="en-US" w:eastAsia="zh-CN" w:bidi="ar"/>
        </w:rPr>
        <w:t>官方网站：www.cib.com.cn</w:t>
      </w:r>
    </w:p>
    <w:p>
      <w:pPr>
        <w:keepLines w:val="0"/>
        <w:pageBreakBefore w:val="0"/>
        <w:kinsoku/>
        <w:wordWrap/>
        <w:overflowPunct/>
        <w:topLinePunct w:val="0"/>
        <w:bidi w:val="0"/>
        <w:spacing w:beforeLines="0" w:afterLines="0" w:line="360" w:lineRule="auto"/>
        <w:ind w:right="0" w:rightChars="0" w:firstLine="420" w:firstLineChars="200"/>
        <w:textAlignment w:val="auto"/>
        <w:rPr>
          <w:rFonts w:hint="default"/>
          <w:b w:val="0"/>
          <w:bCs w:val="0"/>
          <w:highlight w:val="none"/>
          <w:lang w:val="en-US" w:eastAsia="zh-CN" w:bidi="ar"/>
        </w:rPr>
      </w:pPr>
      <w:r>
        <w:rPr>
          <w:rFonts w:hint="default"/>
          <w:kern w:val="2"/>
          <w:sz w:val="21"/>
          <w:szCs w:val="24"/>
          <w:highlight w:val="none"/>
          <w:lang w:val="en-US" w:eastAsia="zh-CN" w:bidi="ar"/>
        </w:rPr>
        <w:t>客户服务热线：95561</w:t>
      </w:r>
    </w:p>
    <w:p>
      <w:pPr>
        <w:spacing w:line="360" w:lineRule="auto"/>
        <w:ind w:firstLine="420" w:firstLineChars="200"/>
        <w:rPr>
          <w:rFonts w:hint="eastAsia"/>
          <w:kern w:val="2"/>
          <w:sz w:val="21"/>
          <w:szCs w:val="24"/>
          <w:highlight w:val="none"/>
          <w:lang w:val="en-US" w:eastAsia="zh-CN" w:bidi="ar"/>
        </w:rPr>
      </w:pPr>
    </w:p>
    <w:p>
      <w:pPr>
        <w:spacing w:line="360" w:lineRule="auto"/>
        <w:ind w:firstLine="420" w:firstLineChars="200"/>
        <w:rPr>
          <w:rFonts w:hint="eastAsia"/>
          <w:kern w:val="2"/>
          <w:sz w:val="21"/>
          <w:szCs w:val="24"/>
          <w:highlight w:val="none"/>
          <w:lang w:val="en-US" w:eastAsia="zh-CN" w:bidi="ar"/>
        </w:rPr>
      </w:pPr>
      <w:r>
        <w:rPr>
          <w:rFonts w:hint="eastAsia"/>
          <w:kern w:val="2"/>
          <w:sz w:val="21"/>
          <w:szCs w:val="24"/>
          <w:highlight w:val="none"/>
          <w:lang w:val="en-US" w:eastAsia="zh-CN" w:bidi="ar"/>
        </w:rPr>
        <w:t>机构名称：中信银行股份有限公司</w:t>
      </w:r>
    </w:p>
    <w:p>
      <w:pPr>
        <w:spacing w:line="360" w:lineRule="auto"/>
        <w:ind w:left="420" w:leftChars="200" w:firstLine="0" w:firstLineChars="0"/>
        <w:rPr>
          <w:rFonts w:hint="eastAsia"/>
          <w:kern w:val="2"/>
          <w:sz w:val="21"/>
          <w:szCs w:val="24"/>
          <w:highlight w:val="none"/>
          <w:lang w:val="en-US" w:eastAsia="zh-CN" w:bidi="ar"/>
        </w:rPr>
      </w:pPr>
      <w:r>
        <w:rPr>
          <w:rFonts w:hint="eastAsia"/>
          <w:kern w:val="2"/>
          <w:sz w:val="21"/>
          <w:szCs w:val="24"/>
          <w:highlight w:val="none"/>
          <w:lang w:val="en-US" w:eastAsia="zh-CN" w:bidi="ar"/>
        </w:rPr>
        <w:t>注册地址：北京市朝阳区光华路10号院1号楼6-30层、32-42层</w:t>
      </w:r>
    </w:p>
    <w:p>
      <w:pPr>
        <w:spacing w:line="360" w:lineRule="auto"/>
        <w:ind w:firstLine="420" w:firstLineChars="200"/>
        <w:rPr>
          <w:rFonts w:hint="eastAsia"/>
          <w:kern w:val="2"/>
          <w:sz w:val="21"/>
          <w:szCs w:val="24"/>
          <w:highlight w:val="none"/>
          <w:lang w:val="en-US" w:eastAsia="zh-CN" w:bidi="ar"/>
        </w:rPr>
      </w:pPr>
      <w:bookmarkStart w:id="16" w:name="Text87"/>
      <w:r>
        <w:rPr>
          <w:rFonts w:hint="eastAsia"/>
          <w:kern w:val="2"/>
          <w:sz w:val="21"/>
          <w:szCs w:val="24"/>
          <w:highlight w:val="none"/>
          <w:lang w:val="en-US" w:eastAsia="zh-CN" w:bidi="ar"/>
        </w:rPr>
        <w:t>官方网站：www.citicbank.com</w:t>
      </w:r>
    </w:p>
    <w:p>
      <w:pPr>
        <w:spacing w:line="360" w:lineRule="auto"/>
        <w:ind w:firstLine="420" w:firstLineChars="200"/>
        <w:rPr>
          <w:rFonts w:hint="eastAsia"/>
          <w:kern w:val="2"/>
          <w:sz w:val="21"/>
          <w:szCs w:val="24"/>
          <w:highlight w:val="none"/>
          <w:lang w:val="en-US" w:eastAsia="zh-CN" w:bidi="ar"/>
        </w:rPr>
      </w:pPr>
      <w:r>
        <w:rPr>
          <w:rFonts w:hint="eastAsia"/>
          <w:kern w:val="2"/>
          <w:sz w:val="21"/>
          <w:szCs w:val="24"/>
          <w:highlight w:val="none"/>
          <w:lang w:val="en-US" w:eastAsia="zh-CN" w:bidi="ar"/>
        </w:rPr>
        <w:t>客户服务热线：95558</w:t>
      </w:r>
      <w:bookmarkEnd w:id="16"/>
    </w:p>
    <w:p>
      <w:pPr>
        <w:spacing w:line="360" w:lineRule="auto"/>
        <w:ind w:firstLine="420" w:firstLineChars="200"/>
        <w:rPr>
          <w:lang w:bidi="ar"/>
        </w:rPr>
      </w:pPr>
    </w:p>
    <w:p>
      <w:pPr>
        <w:spacing w:line="360" w:lineRule="auto"/>
        <w:ind w:firstLine="420" w:firstLineChars="200"/>
        <w:rPr>
          <w:lang w:bidi="ar"/>
        </w:rPr>
      </w:pPr>
      <w:r>
        <w:rPr>
          <w:rFonts w:hint="eastAsia"/>
          <w:lang w:bidi="ar"/>
        </w:rPr>
        <w:t>机构名称：中邮邮惠万家银行有限责任公司</w:t>
      </w:r>
    </w:p>
    <w:p>
      <w:pPr>
        <w:spacing w:line="360" w:lineRule="auto"/>
        <w:ind w:firstLine="420" w:firstLineChars="200"/>
        <w:rPr>
          <w:lang w:bidi="ar"/>
        </w:rPr>
      </w:pPr>
      <w:r>
        <w:rPr>
          <w:rFonts w:hint="eastAsia"/>
          <w:lang w:bidi="ar"/>
        </w:rPr>
        <w:t>注册地址：上海市虹口区东大名路1080号25层、26层</w:t>
      </w:r>
    </w:p>
    <w:p>
      <w:pPr>
        <w:spacing w:line="360" w:lineRule="auto"/>
        <w:ind w:left="420" w:leftChars="200" w:firstLine="0" w:firstLineChars="0"/>
        <w:rPr>
          <w:rFonts w:hint="eastAsia"/>
          <w:kern w:val="2"/>
          <w:sz w:val="21"/>
          <w:szCs w:val="24"/>
          <w:lang w:val="en-US" w:eastAsia="zh-CN" w:bidi="ar"/>
        </w:rPr>
      </w:pPr>
      <w:bookmarkStart w:id="17" w:name="Text124"/>
      <w:r>
        <w:rPr>
          <w:rFonts w:hint="eastAsia"/>
          <w:kern w:val="2"/>
          <w:sz w:val="21"/>
          <w:szCs w:val="24"/>
          <w:lang w:val="en-US" w:eastAsia="zh-CN" w:bidi="ar"/>
        </w:rPr>
        <w:t>官方网站：https://psbc-ubank.com</w:t>
      </w:r>
    </w:p>
    <w:p>
      <w:pPr>
        <w:spacing w:line="360" w:lineRule="auto"/>
        <w:ind w:left="420" w:leftChars="200" w:firstLine="0" w:firstLineChars="0"/>
        <w:rPr>
          <w:lang w:bidi="ar"/>
        </w:rPr>
      </w:pPr>
      <w:r>
        <w:rPr>
          <w:rFonts w:hint="eastAsia"/>
          <w:kern w:val="2"/>
          <w:sz w:val="21"/>
          <w:szCs w:val="24"/>
          <w:lang w:val="en-US" w:eastAsia="zh-CN" w:bidi="ar"/>
        </w:rPr>
        <w:t>客户服务热线：40011-88888
</w:t>
      </w:r>
      <w:bookmarkEnd w:id="17"/>
    </w:p>
    <w:p>
      <w:pPr>
        <w:spacing w:line="360" w:lineRule="auto"/>
        <w:ind w:firstLine="420" w:firstLineChars="200"/>
        <w:rPr>
          <w:rFonts w:hint="eastAsia"/>
          <w:b w:val="0"/>
          <w:bCs w:val="0"/>
          <w:kern w:val="2"/>
          <w:sz w:val="21"/>
          <w:szCs w:val="24"/>
          <w:highlight w:val="none"/>
          <w:lang w:val="en-US" w:eastAsia="zh-CN" w:bidi="ar"/>
        </w:rPr>
      </w:pPr>
      <w:bookmarkStart w:id="18" w:name="Author"/>
    </w:p>
    <w:p>
      <w:pPr>
        <w:spacing w:line="360" w:lineRule="auto"/>
        <w:ind w:firstLine="420" w:firstLineChars="200"/>
        <w:rPr>
          <w:rFonts w:hint="eastAsia"/>
          <w:b w:val="0"/>
          <w:bCs w:val="0"/>
          <w:kern w:val="2"/>
          <w:sz w:val="21"/>
          <w:szCs w:val="24"/>
          <w:highlight w:val="none"/>
          <w:lang w:val="en-US" w:eastAsia="zh-CN" w:bidi="ar"/>
        </w:rPr>
      </w:pPr>
      <w:r>
        <w:rPr>
          <w:rFonts w:hint="eastAsia"/>
          <w:b w:val="0"/>
          <w:bCs w:val="0"/>
          <w:kern w:val="2"/>
          <w:sz w:val="21"/>
          <w:szCs w:val="24"/>
          <w:highlight w:val="none"/>
          <w:lang w:val="en-US" w:eastAsia="zh-CN" w:bidi="ar"/>
        </w:rPr>
        <w:t>机构名称：浙江网商银行股份有限公司</w:t>
      </w:r>
      <w:bookmarkEnd w:id="18"/>
    </w:p>
    <w:p>
      <w:pPr>
        <w:spacing w:line="360" w:lineRule="auto"/>
        <w:ind w:firstLine="420" w:firstLineChars="200"/>
        <w:rPr>
          <w:rFonts w:hint="eastAsia"/>
          <w:b w:val="0"/>
          <w:bCs w:val="0"/>
          <w:kern w:val="2"/>
          <w:sz w:val="21"/>
          <w:szCs w:val="24"/>
          <w:highlight w:val="none"/>
          <w:lang w:val="en-US" w:eastAsia="zh-CN" w:bidi="ar"/>
        </w:rPr>
      </w:pPr>
      <w:r>
        <w:rPr>
          <w:rFonts w:hint="eastAsia"/>
          <w:b w:val="0"/>
          <w:bCs w:val="0"/>
          <w:kern w:val="2"/>
          <w:sz w:val="21"/>
          <w:szCs w:val="24"/>
          <w:highlight w:val="none"/>
          <w:lang w:val="en-US" w:eastAsia="zh-CN" w:bidi="ar"/>
        </w:rPr>
        <w:t>注册地址：浙江省杭州市西湖区学院路77号黄龙国际中心8号楼14-20层</w:t>
      </w:r>
    </w:p>
    <w:p>
      <w:pPr>
        <w:spacing w:line="360" w:lineRule="auto"/>
        <w:ind w:firstLine="420" w:firstLineChars="200"/>
        <w:rPr>
          <w:rFonts w:hint="default"/>
          <w:kern w:val="2"/>
          <w:sz w:val="21"/>
          <w:szCs w:val="24"/>
          <w:highlight w:val="none"/>
          <w:lang w:val="en-US" w:eastAsia="zh-CN" w:bidi="ar"/>
        </w:rPr>
      </w:pPr>
      <w:r>
        <w:rPr>
          <w:rFonts w:hint="default"/>
          <w:kern w:val="2"/>
          <w:sz w:val="21"/>
          <w:szCs w:val="24"/>
          <w:highlight w:val="none"/>
          <w:lang w:val="en-US" w:eastAsia="zh-CN" w:bidi="ar"/>
        </w:rPr>
        <w:t>官方网站：https://www.mybank.cn</w:t>
      </w:r>
    </w:p>
    <w:p>
      <w:pPr>
        <w:spacing w:line="360" w:lineRule="auto"/>
        <w:ind w:firstLine="420" w:firstLineChars="200"/>
        <w:rPr>
          <w:rFonts w:hint="default"/>
          <w:b w:val="0"/>
          <w:bCs w:val="0"/>
          <w:kern w:val="2"/>
          <w:sz w:val="21"/>
          <w:szCs w:val="24"/>
          <w:highlight w:val="none"/>
          <w:lang w:val="en-US" w:eastAsia="zh-CN" w:bidi="ar"/>
        </w:rPr>
      </w:pPr>
      <w:r>
        <w:rPr>
          <w:rFonts w:hint="default"/>
          <w:b w:val="0"/>
          <w:bCs w:val="0"/>
          <w:kern w:val="2"/>
          <w:sz w:val="21"/>
          <w:szCs w:val="24"/>
          <w:highlight w:val="none"/>
          <w:lang w:val="en-US" w:eastAsia="zh-CN" w:bidi="ar"/>
        </w:rPr>
        <w:t>客户服务热线：95188-3</w:t>
      </w:r>
    </w:p>
    <w:p>
      <w:pPr>
        <w:spacing w:line="360" w:lineRule="auto"/>
        <w:ind w:firstLine="420" w:firstLineChars="200"/>
        <w:rPr>
          <w:rFonts w:hint="eastAsia"/>
          <w:b w:val="0"/>
          <w:bCs w:val="0"/>
          <w:kern w:val="2"/>
          <w:sz w:val="21"/>
          <w:szCs w:val="24"/>
          <w:highlight w:val="none"/>
          <w:lang w:val="en-US" w:eastAsia="zh-CN" w:bidi="ar"/>
        </w:rPr>
      </w:pPr>
    </w:p>
    <w:p>
      <w:pPr>
        <w:spacing w:line="360" w:lineRule="auto"/>
        <w:ind w:firstLine="420" w:firstLineChars="200"/>
        <w:rPr>
          <w:rFonts w:hint="eastAsia"/>
          <w:b w:val="0"/>
          <w:bCs w:val="0"/>
          <w:kern w:val="2"/>
          <w:sz w:val="21"/>
          <w:szCs w:val="24"/>
          <w:highlight w:val="none"/>
          <w:lang w:val="en-US" w:eastAsia="zh-CN" w:bidi="ar"/>
        </w:rPr>
      </w:pPr>
      <w:r>
        <w:rPr>
          <w:rFonts w:hint="eastAsia"/>
          <w:b w:val="0"/>
          <w:bCs w:val="0"/>
          <w:kern w:val="2"/>
          <w:sz w:val="21"/>
          <w:szCs w:val="24"/>
          <w:highlight w:val="none"/>
          <w:lang w:val="en-US" w:eastAsia="zh-CN" w:bidi="ar"/>
        </w:rPr>
        <w:t>机构名称：吉林银行股份有限公司</w:t>
      </w:r>
    </w:p>
    <w:p>
      <w:pPr>
        <w:spacing w:line="360" w:lineRule="auto"/>
        <w:ind w:firstLine="420" w:firstLineChars="200"/>
        <w:rPr>
          <w:rFonts w:hint="eastAsia"/>
          <w:b w:val="0"/>
          <w:bCs w:val="0"/>
          <w:kern w:val="2"/>
          <w:sz w:val="21"/>
          <w:szCs w:val="24"/>
          <w:highlight w:val="none"/>
          <w:lang w:val="en-US" w:eastAsia="zh-CN" w:bidi="ar"/>
        </w:rPr>
      </w:pPr>
      <w:r>
        <w:rPr>
          <w:rFonts w:hint="eastAsia"/>
          <w:b w:val="0"/>
          <w:bCs w:val="0"/>
          <w:kern w:val="2"/>
          <w:sz w:val="21"/>
          <w:szCs w:val="24"/>
          <w:highlight w:val="none"/>
          <w:lang w:val="en-US" w:eastAsia="zh-CN" w:bidi="ar"/>
        </w:rPr>
        <w:t>注册地址：吉林省长春市南关区人民大街10666号</w:t>
      </w:r>
    </w:p>
    <w:p>
      <w:pPr>
        <w:spacing w:line="360" w:lineRule="auto"/>
        <w:ind w:firstLine="420" w:firstLineChars="200"/>
        <w:rPr>
          <w:rFonts w:hint="eastAsia"/>
          <w:b w:val="0"/>
          <w:bCs w:val="0"/>
          <w:kern w:val="2"/>
          <w:sz w:val="21"/>
          <w:szCs w:val="24"/>
          <w:highlight w:val="none"/>
          <w:lang w:val="en-US" w:eastAsia="zh-CN" w:bidi="ar"/>
        </w:rPr>
      </w:pPr>
      <w:r>
        <w:rPr>
          <w:rFonts w:hint="eastAsia"/>
          <w:b w:val="0"/>
          <w:bCs w:val="0"/>
          <w:kern w:val="2"/>
          <w:sz w:val="21"/>
          <w:szCs w:val="24"/>
          <w:highlight w:val="none"/>
          <w:lang w:val="en-US" w:eastAsia="zh-CN" w:bidi="ar"/>
        </w:rPr>
        <w:t>官方网站：http://www.jlbank.com.cn</w:t>
      </w:r>
    </w:p>
    <w:p>
      <w:pPr>
        <w:spacing w:line="360" w:lineRule="auto"/>
        <w:ind w:firstLine="420" w:firstLineChars="200"/>
        <w:rPr>
          <w:rFonts w:hint="eastAsia"/>
          <w:b w:val="0"/>
          <w:bCs w:val="0"/>
          <w:kern w:val="2"/>
          <w:sz w:val="21"/>
          <w:szCs w:val="24"/>
          <w:highlight w:val="none"/>
          <w:lang w:val="en-US" w:eastAsia="zh-CN" w:bidi="ar"/>
        </w:rPr>
      </w:pPr>
      <w:r>
        <w:rPr>
          <w:rFonts w:hint="eastAsia"/>
          <w:b w:val="0"/>
          <w:bCs w:val="0"/>
          <w:kern w:val="2"/>
          <w:sz w:val="21"/>
          <w:szCs w:val="24"/>
          <w:highlight w:val="none"/>
          <w:lang w:val="en-US" w:eastAsia="zh-CN" w:bidi="ar"/>
        </w:rPr>
        <w:t>客户服务热线：400-88-96666</w:t>
      </w:r>
    </w:p>
    <w:p>
      <w:pPr>
        <w:spacing w:line="360" w:lineRule="auto"/>
        <w:ind w:firstLine="420" w:firstLineChars="200"/>
        <w:rPr>
          <w:rFonts w:hint="eastAsia"/>
          <w:b w:val="0"/>
          <w:bCs w:val="0"/>
          <w:kern w:val="2"/>
          <w:sz w:val="21"/>
          <w:szCs w:val="24"/>
          <w:highlight w:val="none"/>
          <w:lang w:val="en-US" w:eastAsia="zh-CN" w:bidi="ar"/>
        </w:rPr>
      </w:pPr>
    </w:p>
    <w:p>
      <w:pPr>
        <w:spacing w:line="360" w:lineRule="auto"/>
        <w:ind w:firstLine="420" w:firstLineChars="200"/>
        <w:rPr>
          <w:rFonts w:hint="eastAsia"/>
          <w:b w:val="0"/>
          <w:bCs w:val="0"/>
          <w:kern w:val="2"/>
          <w:sz w:val="21"/>
          <w:szCs w:val="24"/>
          <w:highlight w:val="none"/>
          <w:lang w:val="en-US" w:eastAsia="zh-CN" w:bidi="ar"/>
        </w:rPr>
      </w:pPr>
      <w:r>
        <w:rPr>
          <w:rFonts w:hint="eastAsia"/>
          <w:b w:val="0"/>
          <w:bCs w:val="0"/>
          <w:kern w:val="2"/>
          <w:sz w:val="21"/>
          <w:szCs w:val="24"/>
          <w:highlight w:val="none"/>
          <w:lang w:val="en-US" w:eastAsia="zh-CN" w:bidi="ar"/>
        </w:rPr>
        <w:t>机构名称：苏州银行股份有限公司</w:t>
      </w:r>
    </w:p>
    <w:p>
      <w:pPr>
        <w:spacing w:line="360" w:lineRule="auto"/>
        <w:ind w:firstLine="420" w:firstLineChars="200"/>
        <w:rPr>
          <w:rFonts w:hint="eastAsia"/>
          <w:b w:val="0"/>
          <w:bCs w:val="0"/>
          <w:kern w:val="2"/>
          <w:sz w:val="21"/>
          <w:szCs w:val="24"/>
          <w:highlight w:val="none"/>
          <w:lang w:val="en-US" w:eastAsia="zh-CN" w:bidi="ar"/>
        </w:rPr>
      </w:pPr>
      <w:r>
        <w:rPr>
          <w:rFonts w:hint="eastAsia"/>
          <w:b w:val="0"/>
          <w:bCs w:val="0"/>
          <w:kern w:val="2"/>
          <w:sz w:val="21"/>
          <w:szCs w:val="24"/>
          <w:highlight w:val="none"/>
          <w:lang w:val="en-US" w:eastAsia="zh-CN" w:bidi="ar"/>
        </w:rPr>
        <w:t>注册地址：江苏省苏州市苏州工业园区钟园路728号</w:t>
      </w:r>
    </w:p>
    <w:p>
      <w:pPr>
        <w:spacing w:line="360" w:lineRule="auto"/>
        <w:ind w:firstLine="420" w:firstLineChars="200"/>
        <w:rPr>
          <w:rFonts w:hint="eastAsia"/>
          <w:b w:val="0"/>
          <w:bCs w:val="0"/>
          <w:kern w:val="2"/>
          <w:sz w:val="21"/>
          <w:szCs w:val="24"/>
          <w:highlight w:val="none"/>
          <w:lang w:val="en-US" w:eastAsia="zh-CN" w:bidi="ar"/>
        </w:rPr>
      </w:pPr>
      <w:r>
        <w:rPr>
          <w:rFonts w:hint="eastAsia"/>
          <w:b w:val="0"/>
          <w:bCs w:val="0"/>
          <w:kern w:val="2"/>
          <w:sz w:val="21"/>
          <w:szCs w:val="24"/>
          <w:highlight w:val="none"/>
          <w:lang w:val="en-US" w:eastAsia="zh-CN" w:bidi="ar"/>
        </w:rPr>
        <w:t>官方网站：www.suzhoubank.com</w:t>
      </w:r>
    </w:p>
    <w:p>
      <w:pPr>
        <w:spacing w:line="360" w:lineRule="auto"/>
        <w:ind w:firstLine="420" w:firstLineChars="200"/>
        <w:rPr>
          <w:rFonts w:hint="eastAsia"/>
          <w:b w:val="0"/>
          <w:bCs w:val="0"/>
          <w:kern w:val="2"/>
          <w:sz w:val="21"/>
          <w:szCs w:val="24"/>
          <w:highlight w:val="none"/>
          <w:lang w:val="en-US" w:eastAsia="zh-CN" w:bidi="ar"/>
        </w:rPr>
      </w:pPr>
      <w:r>
        <w:rPr>
          <w:rFonts w:hint="eastAsia"/>
          <w:b w:val="0"/>
          <w:bCs w:val="0"/>
          <w:kern w:val="2"/>
          <w:sz w:val="21"/>
          <w:szCs w:val="24"/>
          <w:highlight w:val="none"/>
          <w:lang w:val="en-US" w:eastAsia="zh-CN" w:bidi="ar"/>
        </w:rPr>
        <w:t>客户服务热线：0512-96067</w:t>
      </w:r>
    </w:p>
    <w:p>
      <w:pPr>
        <w:spacing w:line="360" w:lineRule="auto"/>
        <w:ind w:firstLine="420" w:firstLineChars="200"/>
        <w:rPr>
          <w:rFonts w:hint="eastAsia"/>
          <w:b w:val="0"/>
          <w:bCs w:val="0"/>
          <w:kern w:val="2"/>
          <w:sz w:val="21"/>
          <w:szCs w:val="24"/>
          <w:highlight w:val="none"/>
          <w:lang w:val="en-US" w:eastAsia="zh-CN" w:bidi="ar"/>
        </w:rPr>
      </w:pPr>
    </w:p>
    <w:p>
      <w:pPr>
        <w:spacing w:line="360" w:lineRule="auto"/>
        <w:ind w:left="420" w:leftChars="200" w:firstLine="0" w:firstLineChars="0"/>
        <w:rPr>
          <w:rFonts w:hint="eastAsia"/>
          <w:b w:val="0"/>
          <w:bCs w:val="0"/>
          <w:kern w:val="2"/>
          <w:sz w:val="21"/>
          <w:szCs w:val="24"/>
          <w:highlight w:val="none"/>
          <w:lang w:val="en-US" w:eastAsia="zh-CN" w:bidi="ar"/>
        </w:rPr>
      </w:pPr>
      <w:r>
        <w:rPr>
          <w:rFonts w:hint="eastAsia"/>
          <w:b w:val="0"/>
          <w:bCs w:val="0"/>
          <w:kern w:val="2"/>
          <w:sz w:val="21"/>
          <w:szCs w:val="24"/>
          <w:highlight w:val="none"/>
          <w:lang w:val="en-US" w:eastAsia="zh-CN" w:bidi="ar"/>
        </w:rPr>
        <w:t>机构名称：厦门国际银行股份有限公司</w:t>
      </w:r>
      <w:r>
        <w:rPr>
          <w:rFonts w:hint="eastAsia"/>
          <w:b w:val="0"/>
          <w:bCs w:val="0"/>
          <w:kern w:val="2"/>
          <w:sz w:val="21"/>
          <w:szCs w:val="24"/>
          <w:highlight w:val="none"/>
          <w:lang w:val="en-US" w:eastAsia="zh-CN" w:bidi="ar"/>
        </w:rPr>
        <w:cr/>
      </w:r>
      <w:r>
        <w:rPr>
          <w:rFonts w:hint="eastAsia"/>
          <w:b w:val="0"/>
          <w:bCs w:val="0"/>
          <w:kern w:val="2"/>
          <w:sz w:val="21"/>
          <w:szCs w:val="24"/>
          <w:highlight w:val="none"/>
          <w:lang w:val="en-US" w:eastAsia="zh-CN" w:bidi="ar"/>
        </w:rPr>
        <w:t>注册地址：厦门市思明区鹭江道8-10号国际银行大厦1-6层</w:t>
      </w:r>
      <w:r>
        <w:rPr>
          <w:rFonts w:hint="eastAsia"/>
          <w:b w:val="0"/>
          <w:bCs w:val="0"/>
          <w:kern w:val="2"/>
          <w:sz w:val="21"/>
          <w:szCs w:val="24"/>
          <w:highlight w:val="none"/>
          <w:lang w:val="en-US" w:eastAsia="zh-CN" w:bidi="ar"/>
        </w:rPr>
        <w:cr/>
      </w:r>
      <w:r>
        <w:rPr>
          <w:rFonts w:hint="eastAsia"/>
          <w:b w:val="0"/>
          <w:bCs w:val="0"/>
          <w:kern w:val="2"/>
          <w:sz w:val="21"/>
          <w:szCs w:val="24"/>
          <w:highlight w:val="none"/>
          <w:lang w:val="en-US" w:eastAsia="zh-CN" w:bidi="ar"/>
        </w:rPr>
        <w:t>官方网站：www.xib.com.cn</w:t>
      </w:r>
      <w:r>
        <w:rPr>
          <w:rFonts w:hint="eastAsia"/>
          <w:b w:val="0"/>
          <w:bCs w:val="0"/>
          <w:kern w:val="2"/>
          <w:sz w:val="21"/>
          <w:szCs w:val="24"/>
          <w:highlight w:val="none"/>
          <w:lang w:val="en-US" w:eastAsia="zh-CN" w:bidi="ar"/>
        </w:rPr>
        <w:cr/>
      </w:r>
      <w:r>
        <w:rPr>
          <w:rFonts w:hint="eastAsia"/>
          <w:b w:val="0"/>
          <w:bCs w:val="0"/>
          <w:kern w:val="2"/>
          <w:sz w:val="21"/>
          <w:szCs w:val="24"/>
          <w:highlight w:val="none"/>
          <w:lang w:val="en-US" w:eastAsia="zh-CN" w:bidi="ar"/>
        </w:rPr>
        <w:t>客服热线：956085</w:t>
      </w:r>
    </w:p>
    <w:p>
      <w:pPr>
        <w:spacing w:line="360" w:lineRule="auto"/>
        <w:ind w:left="420" w:leftChars="200" w:firstLine="0" w:firstLineChars="0"/>
        <w:rPr>
          <w:rFonts w:hint="eastAsia"/>
          <w:b w:val="0"/>
          <w:bCs w:val="0"/>
          <w:kern w:val="2"/>
          <w:sz w:val="21"/>
          <w:szCs w:val="24"/>
          <w:highlight w:val="none"/>
          <w:lang w:val="en-US" w:eastAsia="zh-CN" w:bidi="ar"/>
        </w:rPr>
      </w:pPr>
    </w:p>
    <w:p>
      <w:pPr>
        <w:spacing w:line="360" w:lineRule="auto"/>
        <w:ind w:left="420" w:leftChars="200" w:firstLine="0" w:firstLineChars="0"/>
        <w:rPr>
          <w:rFonts w:hint="eastAsia"/>
          <w:b w:val="0"/>
          <w:bCs w:val="0"/>
          <w:kern w:val="2"/>
          <w:sz w:val="21"/>
          <w:szCs w:val="24"/>
          <w:highlight w:val="none"/>
          <w:lang w:val="en-US" w:eastAsia="zh-CN" w:bidi="ar"/>
        </w:rPr>
      </w:pPr>
      <w:r>
        <w:rPr>
          <w:rFonts w:hint="eastAsia"/>
          <w:b w:val="0"/>
          <w:bCs w:val="0"/>
          <w:kern w:val="2"/>
          <w:sz w:val="21"/>
          <w:szCs w:val="24"/>
          <w:highlight w:val="none"/>
          <w:lang w:val="en-US" w:eastAsia="zh-CN" w:bidi="ar"/>
        </w:rPr>
        <w:t>机构名称：广州银行股份有限公司</w:t>
      </w:r>
      <w:r>
        <w:rPr>
          <w:rFonts w:hint="eastAsia"/>
          <w:b w:val="0"/>
          <w:bCs w:val="0"/>
          <w:kern w:val="2"/>
          <w:sz w:val="21"/>
          <w:szCs w:val="24"/>
          <w:highlight w:val="none"/>
          <w:lang w:val="en-US" w:eastAsia="zh-CN" w:bidi="ar"/>
        </w:rPr>
        <w:cr/>
      </w:r>
      <w:r>
        <w:rPr>
          <w:rFonts w:hint="eastAsia"/>
          <w:b w:val="0"/>
          <w:bCs w:val="0"/>
          <w:kern w:val="2"/>
          <w:sz w:val="21"/>
          <w:szCs w:val="24"/>
          <w:highlight w:val="none"/>
          <w:lang w:val="en-US" w:eastAsia="zh-CN" w:bidi="ar"/>
        </w:rPr>
        <w:t>注册地址：广州市天河区珠江东路30号</w:t>
      </w:r>
      <w:r>
        <w:rPr>
          <w:rFonts w:hint="eastAsia"/>
          <w:b w:val="0"/>
          <w:bCs w:val="0"/>
          <w:kern w:val="2"/>
          <w:sz w:val="21"/>
          <w:szCs w:val="24"/>
          <w:highlight w:val="none"/>
          <w:lang w:val="en-US" w:eastAsia="zh-CN" w:bidi="ar"/>
        </w:rPr>
        <w:cr/>
      </w:r>
      <w:r>
        <w:rPr>
          <w:rFonts w:hint="eastAsia"/>
          <w:b w:val="0"/>
          <w:bCs w:val="0"/>
          <w:kern w:val="2"/>
          <w:sz w:val="21"/>
          <w:szCs w:val="24"/>
          <w:highlight w:val="none"/>
          <w:lang w:val="en-US" w:eastAsia="zh-CN" w:bidi="ar"/>
        </w:rPr>
        <w:t>官方网站：www.gzcb.com.cn</w:t>
      </w:r>
      <w:r>
        <w:rPr>
          <w:rFonts w:hint="eastAsia"/>
          <w:b w:val="0"/>
          <w:bCs w:val="0"/>
          <w:kern w:val="2"/>
          <w:sz w:val="21"/>
          <w:szCs w:val="24"/>
          <w:highlight w:val="none"/>
          <w:lang w:val="en-US" w:eastAsia="zh-CN" w:bidi="ar"/>
        </w:rPr>
        <w:cr/>
      </w:r>
      <w:r>
        <w:rPr>
          <w:rFonts w:hint="eastAsia"/>
          <w:b w:val="0"/>
          <w:bCs w:val="0"/>
          <w:kern w:val="2"/>
          <w:sz w:val="21"/>
          <w:szCs w:val="24"/>
          <w:highlight w:val="none"/>
          <w:lang w:val="en-US" w:eastAsia="zh-CN" w:bidi="ar"/>
        </w:rPr>
        <w:t>客户服务热线：96699</w:t>
      </w:r>
    </w:p>
    <w:p>
      <w:pPr>
        <w:spacing w:line="360" w:lineRule="auto"/>
        <w:ind w:left="420" w:leftChars="200" w:firstLine="0" w:firstLineChars="0"/>
        <w:rPr>
          <w:rFonts w:hint="eastAsia"/>
          <w:b w:val="0"/>
          <w:bCs w:val="0"/>
          <w:kern w:val="2"/>
          <w:sz w:val="21"/>
          <w:szCs w:val="24"/>
          <w:highlight w:val="none"/>
          <w:lang w:val="en-US" w:eastAsia="zh-CN" w:bidi="ar"/>
        </w:rPr>
      </w:pPr>
    </w:p>
    <w:p>
      <w:pPr>
        <w:spacing w:line="360" w:lineRule="auto"/>
        <w:ind w:left="420" w:leftChars="200" w:firstLine="0" w:firstLineChars="0"/>
        <w:rPr>
          <w:rFonts w:hint="eastAsia"/>
          <w:b w:val="0"/>
          <w:bCs w:val="0"/>
          <w:kern w:val="2"/>
          <w:sz w:val="21"/>
          <w:szCs w:val="24"/>
          <w:highlight w:val="none"/>
          <w:lang w:val="en-US" w:eastAsia="zh-CN" w:bidi="ar"/>
        </w:rPr>
      </w:pPr>
      <w:r>
        <w:rPr>
          <w:rFonts w:hint="eastAsia"/>
          <w:b w:val="0"/>
          <w:bCs w:val="0"/>
          <w:kern w:val="2"/>
          <w:sz w:val="21"/>
          <w:szCs w:val="24"/>
          <w:highlight w:val="none"/>
          <w:lang w:val="en-US" w:eastAsia="zh-CN" w:bidi="ar"/>
        </w:rPr>
        <w:t>机构名称：广东南粤银行股份有限公司</w:t>
      </w:r>
      <w:r>
        <w:rPr>
          <w:rFonts w:hint="eastAsia"/>
          <w:b w:val="0"/>
          <w:bCs w:val="0"/>
          <w:kern w:val="2"/>
          <w:sz w:val="21"/>
          <w:szCs w:val="24"/>
          <w:highlight w:val="none"/>
          <w:lang w:val="en-US" w:eastAsia="zh-CN" w:bidi="ar"/>
        </w:rPr>
        <w:cr/>
      </w:r>
      <w:r>
        <w:rPr>
          <w:rFonts w:hint="eastAsia"/>
          <w:b w:val="0"/>
          <w:bCs w:val="0"/>
          <w:kern w:val="2"/>
          <w:sz w:val="21"/>
          <w:szCs w:val="24"/>
          <w:highlight w:val="none"/>
          <w:lang w:val="en-US" w:eastAsia="zh-CN" w:bidi="ar"/>
        </w:rPr>
        <w:t>注册地址：广东省湛江市湛江经济技术开发区乐山路27号财富汇金融中心1层01、02号商铺、2层01号商铺、3层01号商铺、39-45层办公室</w:t>
      </w:r>
      <w:r>
        <w:rPr>
          <w:rFonts w:hint="eastAsia"/>
          <w:b w:val="0"/>
          <w:bCs w:val="0"/>
          <w:kern w:val="2"/>
          <w:sz w:val="21"/>
          <w:szCs w:val="24"/>
          <w:highlight w:val="none"/>
          <w:lang w:val="en-US" w:eastAsia="zh-CN" w:bidi="ar"/>
        </w:rPr>
        <w:cr/>
      </w:r>
      <w:r>
        <w:rPr>
          <w:rFonts w:hint="eastAsia"/>
          <w:b w:val="0"/>
          <w:bCs w:val="0"/>
          <w:kern w:val="2"/>
          <w:sz w:val="21"/>
          <w:szCs w:val="24"/>
          <w:highlight w:val="none"/>
          <w:lang w:val="en-US" w:eastAsia="zh-CN" w:bidi="ar"/>
        </w:rPr>
        <w:t>官方网站：www.gdnybank.com</w:t>
      </w:r>
      <w:r>
        <w:rPr>
          <w:rFonts w:hint="eastAsia"/>
          <w:b w:val="0"/>
          <w:bCs w:val="0"/>
          <w:kern w:val="2"/>
          <w:sz w:val="21"/>
          <w:szCs w:val="24"/>
          <w:highlight w:val="none"/>
          <w:lang w:val="en-US" w:eastAsia="zh-CN" w:bidi="ar"/>
        </w:rPr>
        <w:cr/>
      </w:r>
      <w:r>
        <w:rPr>
          <w:rFonts w:hint="eastAsia"/>
          <w:b w:val="0"/>
          <w:bCs w:val="0"/>
          <w:kern w:val="2"/>
          <w:sz w:val="21"/>
          <w:szCs w:val="24"/>
          <w:highlight w:val="none"/>
          <w:lang w:val="en-US" w:eastAsia="zh-CN" w:bidi="ar"/>
        </w:rPr>
        <w:t>客户服务热线：4000961818（全国） 961818（广东）</w:t>
      </w:r>
    </w:p>
    <w:p>
      <w:pPr>
        <w:spacing w:line="360" w:lineRule="auto"/>
        <w:ind w:left="420" w:leftChars="200" w:firstLine="0" w:firstLineChars="0"/>
        <w:rPr>
          <w:rFonts w:hint="eastAsia"/>
          <w:b w:val="0"/>
          <w:bCs w:val="0"/>
          <w:kern w:val="2"/>
          <w:sz w:val="21"/>
          <w:szCs w:val="24"/>
          <w:highlight w:val="none"/>
          <w:lang w:val="en-US" w:eastAsia="zh-CN" w:bidi="ar"/>
        </w:rPr>
      </w:pPr>
    </w:p>
    <w:p>
      <w:pPr>
        <w:spacing w:line="360" w:lineRule="auto"/>
        <w:ind w:left="420" w:leftChars="200" w:firstLine="0" w:firstLineChars="0"/>
        <w:rPr>
          <w:rFonts w:hint="eastAsia"/>
          <w:b w:val="0"/>
          <w:bCs w:val="0"/>
          <w:kern w:val="2"/>
          <w:sz w:val="21"/>
          <w:szCs w:val="24"/>
          <w:highlight w:val="none"/>
          <w:lang w:val="en-US" w:eastAsia="zh-CN" w:bidi="ar"/>
        </w:rPr>
      </w:pPr>
      <w:r>
        <w:rPr>
          <w:rFonts w:hint="eastAsia"/>
          <w:b w:val="0"/>
          <w:bCs w:val="0"/>
          <w:kern w:val="2"/>
          <w:sz w:val="21"/>
          <w:szCs w:val="24"/>
          <w:highlight w:val="none"/>
          <w:lang w:val="en-US" w:eastAsia="zh-CN" w:bidi="ar"/>
        </w:rPr>
        <w:t>机构名称：广东华兴银行股份有限公司</w:t>
      </w:r>
      <w:r>
        <w:rPr>
          <w:rFonts w:hint="eastAsia"/>
          <w:b w:val="0"/>
          <w:bCs w:val="0"/>
          <w:kern w:val="2"/>
          <w:sz w:val="21"/>
          <w:szCs w:val="24"/>
          <w:highlight w:val="none"/>
          <w:lang w:val="en-US" w:eastAsia="zh-CN" w:bidi="ar"/>
        </w:rPr>
        <w:cr/>
      </w:r>
      <w:r>
        <w:rPr>
          <w:rFonts w:hint="eastAsia"/>
          <w:b w:val="0"/>
          <w:bCs w:val="0"/>
          <w:kern w:val="2"/>
          <w:sz w:val="21"/>
          <w:szCs w:val="24"/>
          <w:highlight w:val="none"/>
          <w:lang w:val="en-US" w:eastAsia="zh-CN" w:bidi="ar"/>
        </w:rPr>
        <w:t>注册地址：汕头市龙湖区黄山路28号四层</w:t>
      </w:r>
      <w:r>
        <w:rPr>
          <w:rFonts w:hint="eastAsia"/>
          <w:b w:val="0"/>
          <w:bCs w:val="0"/>
          <w:kern w:val="2"/>
          <w:sz w:val="21"/>
          <w:szCs w:val="24"/>
          <w:highlight w:val="none"/>
          <w:lang w:val="en-US" w:eastAsia="zh-CN" w:bidi="ar"/>
        </w:rPr>
        <w:cr/>
      </w:r>
      <w:r>
        <w:rPr>
          <w:rFonts w:hint="eastAsia"/>
          <w:b w:val="0"/>
          <w:bCs w:val="0"/>
          <w:kern w:val="2"/>
          <w:sz w:val="21"/>
          <w:szCs w:val="24"/>
          <w:highlight w:val="none"/>
          <w:lang w:val="en-US" w:eastAsia="zh-CN" w:bidi="ar"/>
        </w:rPr>
        <w:t>官方网站：www.ghbank.com.cn</w:t>
      </w:r>
      <w:r>
        <w:rPr>
          <w:rFonts w:hint="eastAsia"/>
          <w:b w:val="0"/>
          <w:bCs w:val="0"/>
          <w:kern w:val="2"/>
          <w:sz w:val="21"/>
          <w:szCs w:val="24"/>
          <w:highlight w:val="none"/>
          <w:lang w:val="en-US" w:eastAsia="zh-CN" w:bidi="ar"/>
        </w:rPr>
        <w:cr/>
      </w:r>
      <w:r>
        <w:rPr>
          <w:rFonts w:hint="eastAsia"/>
          <w:b w:val="0"/>
          <w:bCs w:val="0"/>
          <w:kern w:val="2"/>
          <w:sz w:val="21"/>
          <w:szCs w:val="24"/>
          <w:highlight w:val="none"/>
          <w:lang w:val="en-US" w:eastAsia="zh-CN" w:bidi="ar"/>
        </w:rPr>
        <w:t>客户服务热线：95091</w:t>
      </w:r>
    </w:p>
    <w:p>
      <w:pPr>
        <w:spacing w:line="360" w:lineRule="auto"/>
        <w:ind w:left="420" w:leftChars="200" w:firstLine="0" w:firstLineChars="0"/>
        <w:rPr>
          <w:rFonts w:hint="eastAsia"/>
          <w:b w:val="0"/>
          <w:bCs w:val="0"/>
          <w:kern w:val="2"/>
          <w:sz w:val="21"/>
          <w:szCs w:val="24"/>
          <w:highlight w:val="none"/>
          <w:lang w:val="en-US" w:eastAsia="zh-CN" w:bidi="ar"/>
        </w:rPr>
      </w:pPr>
    </w:p>
    <w:p>
      <w:pPr>
        <w:spacing w:line="360" w:lineRule="auto"/>
        <w:ind w:left="420" w:leftChars="200" w:firstLine="0" w:firstLineChars="0"/>
        <w:rPr>
          <w:rFonts w:hint="eastAsia"/>
          <w:kern w:val="2"/>
          <w:sz w:val="21"/>
          <w:szCs w:val="24"/>
          <w:highlight w:val="none"/>
          <w:lang w:val="en-US" w:eastAsia="zh-CN" w:bidi="ar"/>
        </w:rPr>
      </w:pPr>
      <w:r>
        <w:rPr>
          <w:rFonts w:hint="eastAsia"/>
          <w:kern w:val="2"/>
          <w:sz w:val="21"/>
          <w:szCs w:val="24"/>
          <w:highlight w:val="none"/>
          <w:lang w:val="en-US" w:eastAsia="zh-CN" w:bidi="ar"/>
        </w:rPr>
        <w:t>机构名称：广发银行股份有限公司</w:t>
      </w:r>
      <w:r>
        <w:rPr>
          <w:rFonts w:hint="eastAsia"/>
          <w:kern w:val="2"/>
          <w:sz w:val="21"/>
          <w:szCs w:val="24"/>
          <w:highlight w:val="none"/>
          <w:lang w:val="en-US" w:eastAsia="zh-CN" w:bidi="ar"/>
        </w:rPr>
        <w:cr/>
      </w:r>
      <w:r>
        <w:rPr>
          <w:rFonts w:hint="eastAsia"/>
          <w:kern w:val="2"/>
          <w:sz w:val="21"/>
          <w:szCs w:val="24"/>
          <w:highlight w:val="none"/>
          <w:lang w:val="en-US" w:eastAsia="zh-CN" w:bidi="ar"/>
        </w:rPr>
        <w:t>注册地址：中国广东省广州市越秀区东风东路713号</w:t>
      </w:r>
      <w:r>
        <w:rPr>
          <w:rFonts w:hint="eastAsia"/>
          <w:kern w:val="2"/>
          <w:sz w:val="21"/>
          <w:szCs w:val="24"/>
          <w:highlight w:val="none"/>
          <w:lang w:val="en-US" w:eastAsia="zh-CN" w:bidi="ar"/>
        </w:rPr>
        <w:cr/>
      </w:r>
      <w:r>
        <w:rPr>
          <w:rFonts w:hint="eastAsia"/>
          <w:kern w:val="2"/>
          <w:sz w:val="21"/>
          <w:szCs w:val="24"/>
          <w:highlight w:val="none"/>
          <w:lang w:val="en-US" w:eastAsia="zh-CN" w:bidi="ar"/>
        </w:rPr>
        <w:t>官方网站：www.cgbchina.com.cn</w:t>
      </w:r>
      <w:r>
        <w:rPr>
          <w:rFonts w:hint="eastAsia"/>
          <w:kern w:val="2"/>
          <w:sz w:val="21"/>
          <w:szCs w:val="24"/>
          <w:highlight w:val="none"/>
          <w:lang w:val="en-US" w:eastAsia="zh-CN" w:bidi="ar"/>
        </w:rPr>
        <w:cr/>
      </w:r>
      <w:r>
        <w:rPr>
          <w:rFonts w:hint="eastAsia"/>
          <w:kern w:val="2"/>
          <w:sz w:val="21"/>
          <w:szCs w:val="24"/>
          <w:highlight w:val="none"/>
          <w:lang w:val="en-US" w:eastAsia="zh-CN" w:bidi="ar"/>
        </w:rPr>
        <w:t>客户服务热线：400-830-8003</w:t>
      </w:r>
    </w:p>
    <w:p>
      <w:pPr>
        <w:spacing w:line="360" w:lineRule="auto"/>
        <w:ind w:left="420" w:leftChars="200" w:firstLine="0" w:firstLineChars="0"/>
        <w:rPr>
          <w:rFonts w:hint="eastAsia"/>
          <w:kern w:val="2"/>
          <w:sz w:val="21"/>
          <w:szCs w:val="24"/>
          <w:highlight w:val="none"/>
          <w:lang w:val="en-US" w:eastAsia="zh-CN" w:bidi="ar"/>
        </w:rPr>
      </w:pPr>
    </w:p>
    <w:p>
      <w:pPr>
        <w:spacing w:line="360" w:lineRule="auto"/>
        <w:ind w:left="420" w:leftChars="200" w:firstLine="0" w:firstLineChars="0"/>
        <w:rPr>
          <w:rFonts w:hint="eastAsia"/>
          <w:b w:val="0"/>
          <w:bCs w:val="0"/>
          <w:kern w:val="2"/>
          <w:sz w:val="21"/>
          <w:szCs w:val="24"/>
          <w:highlight w:val="none"/>
          <w:lang w:val="en-US" w:eastAsia="zh-CN" w:bidi="ar"/>
        </w:rPr>
      </w:pPr>
      <w:r>
        <w:rPr>
          <w:rFonts w:hint="eastAsia"/>
          <w:b w:val="0"/>
          <w:bCs w:val="0"/>
          <w:kern w:val="2"/>
          <w:sz w:val="21"/>
          <w:szCs w:val="24"/>
          <w:highlight w:val="none"/>
          <w:lang w:val="en-US" w:eastAsia="zh-CN" w:bidi="ar"/>
        </w:rPr>
        <w:t>机构名称：上海浦东发展银行股份有限公司</w:t>
      </w:r>
      <w:r>
        <w:rPr>
          <w:rFonts w:hint="eastAsia"/>
          <w:b w:val="0"/>
          <w:bCs w:val="0"/>
          <w:kern w:val="2"/>
          <w:sz w:val="21"/>
          <w:szCs w:val="24"/>
          <w:highlight w:val="none"/>
          <w:lang w:val="en-US" w:eastAsia="zh-CN" w:bidi="ar"/>
        </w:rPr>
        <w:cr/>
      </w:r>
      <w:r>
        <w:rPr>
          <w:rFonts w:hint="eastAsia"/>
          <w:b w:val="0"/>
          <w:bCs w:val="0"/>
          <w:kern w:val="2"/>
          <w:sz w:val="21"/>
          <w:szCs w:val="24"/>
          <w:highlight w:val="none"/>
          <w:lang w:val="en-US" w:eastAsia="zh-CN" w:bidi="ar"/>
        </w:rPr>
        <w:t>注册地址：上海市中山东一路12号</w:t>
      </w:r>
      <w:r>
        <w:rPr>
          <w:rFonts w:hint="eastAsia"/>
          <w:b w:val="0"/>
          <w:bCs w:val="0"/>
          <w:kern w:val="2"/>
          <w:sz w:val="21"/>
          <w:szCs w:val="24"/>
          <w:highlight w:val="none"/>
          <w:lang w:val="en-US" w:eastAsia="zh-CN" w:bidi="ar"/>
        </w:rPr>
        <w:cr/>
      </w:r>
      <w:r>
        <w:rPr>
          <w:rFonts w:hint="eastAsia"/>
          <w:b w:val="0"/>
          <w:bCs w:val="0"/>
          <w:kern w:val="2"/>
          <w:sz w:val="21"/>
          <w:szCs w:val="24"/>
          <w:highlight w:val="none"/>
          <w:lang w:val="en-US" w:eastAsia="zh-CN" w:bidi="ar"/>
        </w:rPr>
        <w:t>官方网站：www.spdb.com.cn</w:t>
      </w:r>
    </w:p>
    <w:p>
      <w:pPr>
        <w:spacing w:line="360" w:lineRule="auto"/>
        <w:ind w:left="420" w:leftChars="200" w:firstLine="0" w:firstLineChars="0"/>
        <w:rPr>
          <w:rFonts w:hint="eastAsia"/>
          <w:b w:val="0"/>
          <w:bCs w:val="0"/>
          <w:kern w:val="2"/>
          <w:sz w:val="21"/>
          <w:szCs w:val="24"/>
          <w:highlight w:val="none"/>
          <w:lang w:val="en-US" w:eastAsia="zh-CN" w:bidi="ar"/>
        </w:rPr>
      </w:pPr>
      <w:r>
        <w:rPr>
          <w:rFonts w:hint="eastAsia"/>
          <w:b w:val="0"/>
          <w:bCs w:val="0"/>
          <w:kern w:val="2"/>
          <w:sz w:val="21"/>
          <w:szCs w:val="24"/>
          <w:highlight w:val="none"/>
          <w:lang w:val="en-US" w:eastAsia="zh-CN" w:bidi="ar"/>
        </w:rPr>
        <w:t>客户服务热线：95528</w:t>
      </w:r>
      <w:r>
        <w:rPr>
          <w:rFonts w:hint="eastAsia"/>
          <w:b w:val="0"/>
          <w:bCs w:val="0"/>
          <w:kern w:val="2"/>
          <w:sz w:val="21"/>
          <w:szCs w:val="24"/>
          <w:highlight w:val="none"/>
          <w:lang w:val="en-US" w:eastAsia="zh-CN" w:bidi="ar"/>
        </w:rPr>
        <w:cr/>
      </w:r>
    </w:p>
    <w:p>
      <w:pPr>
        <w:spacing w:line="360" w:lineRule="auto"/>
        <w:ind w:left="420" w:leftChars="200" w:firstLine="0" w:firstLineChars="0"/>
        <w:rPr>
          <w:rFonts w:hint="eastAsia"/>
          <w:b w:val="0"/>
          <w:bCs w:val="0"/>
          <w:kern w:val="2"/>
          <w:sz w:val="21"/>
          <w:szCs w:val="24"/>
          <w:highlight w:val="none"/>
          <w:lang w:val="en-US" w:eastAsia="zh-CN" w:bidi="ar"/>
        </w:rPr>
      </w:pPr>
      <w:r>
        <w:rPr>
          <w:rFonts w:hint="eastAsia"/>
          <w:b w:val="0"/>
          <w:bCs w:val="0"/>
          <w:kern w:val="2"/>
          <w:sz w:val="21"/>
          <w:szCs w:val="24"/>
          <w:highlight w:val="none"/>
          <w:lang w:val="en-US" w:eastAsia="zh-CN" w:bidi="ar"/>
        </w:rPr>
        <w:t>机构名称：嘉兴银行股份有限公司</w:t>
      </w:r>
      <w:r>
        <w:rPr>
          <w:rFonts w:hint="eastAsia"/>
          <w:b w:val="0"/>
          <w:bCs w:val="0"/>
          <w:kern w:val="2"/>
          <w:sz w:val="21"/>
          <w:szCs w:val="24"/>
          <w:highlight w:val="none"/>
          <w:lang w:val="en-US" w:eastAsia="zh-CN" w:bidi="ar"/>
        </w:rPr>
        <w:cr/>
      </w:r>
      <w:r>
        <w:rPr>
          <w:rFonts w:hint="eastAsia"/>
          <w:b w:val="0"/>
          <w:bCs w:val="0"/>
          <w:kern w:val="2"/>
          <w:sz w:val="21"/>
          <w:szCs w:val="24"/>
          <w:highlight w:val="none"/>
          <w:lang w:val="en-US" w:eastAsia="zh-CN" w:bidi="ar"/>
        </w:rPr>
        <w:t>注册地址：浙江省嘉兴市昌盛南路1001号</w:t>
      </w:r>
      <w:r>
        <w:rPr>
          <w:rFonts w:hint="eastAsia"/>
          <w:b w:val="0"/>
          <w:bCs w:val="0"/>
          <w:kern w:val="2"/>
          <w:sz w:val="21"/>
          <w:szCs w:val="24"/>
          <w:highlight w:val="none"/>
          <w:lang w:val="en-US" w:eastAsia="zh-CN" w:bidi="ar"/>
        </w:rPr>
        <w:cr/>
      </w:r>
      <w:r>
        <w:rPr>
          <w:rFonts w:hint="eastAsia"/>
          <w:b w:val="0"/>
          <w:bCs w:val="0"/>
          <w:kern w:val="2"/>
          <w:sz w:val="21"/>
          <w:szCs w:val="24"/>
          <w:highlight w:val="none"/>
          <w:lang w:val="en-US" w:eastAsia="zh-CN" w:bidi="ar"/>
        </w:rPr>
        <w:t>官方网站：www.bojx.com</w:t>
      </w:r>
      <w:r>
        <w:rPr>
          <w:rFonts w:hint="eastAsia"/>
          <w:b w:val="0"/>
          <w:bCs w:val="0"/>
          <w:kern w:val="2"/>
          <w:sz w:val="21"/>
          <w:szCs w:val="24"/>
          <w:highlight w:val="none"/>
          <w:lang w:val="en-US" w:eastAsia="zh-CN" w:bidi="ar"/>
        </w:rPr>
        <w:cr/>
      </w:r>
      <w:r>
        <w:rPr>
          <w:rFonts w:hint="eastAsia"/>
          <w:b w:val="0"/>
          <w:bCs w:val="0"/>
          <w:kern w:val="2"/>
          <w:sz w:val="21"/>
          <w:szCs w:val="24"/>
          <w:highlight w:val="none"/>
          <w:lang w:val="en-US" w:eastAsia="zh-CN" w:bidi="ar"/>
        </w:rPr>
        <w:t>客户服务热线：96528</w:t>
      </w:r>
    </w:p>
    <w:p>
      <w:pPr>
        <w:spacing w:line="360" w:lineRule="auto"/>
        <w:ind w:left="420" w:leftChars="200" w:firstLine="0" w:firstLineChars="0"/>
        <w:rPr>
          <w:rFonts w:hint="eastAsia"/>
          <w:b w:val="0"/>
          <w:bCs w:val="0"/>
          <w:kern w:val="2"/>
          <w:sz w:val="21"/>
          <w:szCs w:val="24"/>
          <w:highlight w:val="none"/>
          <w:lang w:val="en-US" w:eastAsia="zh-CN" w:bidi="ar"/>
        </w:rPr>
      </w:pPr>
    </w:p>
    <w:p>
      <w:pPr>
        <w:spacing w:line="360" w:lineRule="auto"/>
        <w:ind w:left="420" w:leftChars="200" w:firstLine="0" w:firstLineChars="0"/>
        <w:rPr>
          <w:rFonts w:hint="eastAsia"/>
          <w:b w:val="0"/>
          <w:bCs w:val="0"/>
          <w:kern w:val="2"/>
          <w:sz w:val="21"/>
          <w:szCs w:val="24"/>
          <w:highlight w:val="none"/>
          <w:lang w:val="en-US" w:eastAsia="zh-CN" w:bidi="ar"/>
        </w:rPr>
      </w:pPr>
      <w:r>
        <w:rPr>
          <w:rFonts w:hint="eastAsia"/>
          <w:b w:val="0"/>
          <w:bCs w:val="0"/>
          <w:kern w:val="2"/>
          <w:sz w:val="21"/>
          <w:szCs w:val="24"/>
          <w:highlight w:val="none"/>
          <w:lang w:val="en-US" w:eastAsia="zh-CN" w:bidi="ar"/>
        </w:rPr>
        <w:t>机构名称：华夏银行股份有限公司</w:t>
      </w:r>
      <w:r>
        <w:rPr>
          <w:rFonts w:hint="eastAsia"/>
          <w:b w:val="0"/>
          <w:bCs w:val="0"/>
          <w:kern w:val="2"/>
          <w:sz w:val="21"/>
          <w:szCs w:val="24"/>
          <w:highlight w:val="none"/>
          <w:lang w:val="en-US" w:eastAsia="zh-CN" w:bidi="ar"/>
        </w:rPr>
        <w:cr/>
      </w:r>
      <w:r>
        <w:rPr>
          <w:rFonts w:hint="eastAsia"/>
          <w:b w:val="0"/>
          <w:bCs w:val="0"/>
          <w:kern w:val="2"/>
          <w:sz w:val="21"/>
          <w:szCs w:val="24"/>
          <w:highlight w:val="none"/>
          <w:lang w:val="en-US" w:eastAsia="zh-CN" w:bidi="ar"/>
        </w:rPr>
        <w:t>注册地址：北京市东城区建国门内大街22号</w:t>
      </w:r>
      <w:r>
        <w:rPr>
          <w:rFonts w:hint="eastAsia"/>
          <w:b w:val="0"/>
          <w:bCs w:val="0"/>
          <w:kern w:val="2"/>
          <w:sz w:val="21"/>
          <w:szCs w:val="24"/>
          <w:highlight w:val="none"/>
          <w:lang w:val="en-US" w:eastAsia="zh-CN" w:bidi="ar"/>
        </w:rPr>
        <w:cr/>
      </w:r>
      <w:r>
        <w:rPr>
          <w:rFonts w:hint="eastAsia"/>
          <w:b w:val="0"/>
          <w:bCs w:val="0"/>
          <w:kern w:val="2"/>
          <w:sz w:val="21"/>
          <w:szCs w:val="24"/>
          <w:highlight w:val="none"/>
          <w:lang w:val="en-US" w:eastAsia="zh-CN" w:bidi="ar"/>
        </w:rPr>
        <w:t>官方网站：www.hxb.com.cn</w:t>
      </w:r>
      <w:r>
        <w:rPr>
          <w:rFonts w:hint="eastAsia"/>
          <w:b w:val="0"/>
          <w:bCs w:val="0"/>
          <w:kern w:val="2"/>
          <w:sz w:val="21"/>
          <w:szCs w:val="24"/>
          <w:highlight w:val="none"/>
          <w:lang w:val="en-US" w:eastAsia="zh-CN" w:bidi="ar"/>
        </w:rPr>
        <w:cr/>
      </w:r>
      <w:r>
        <w:rPr>
          <w:rFonts w:hint="eastAsia"/>
          <w:b w:val="0"/>
          <w:bCs w:val="0"/>
          <w:kern w:val="2"/>
          <w:sz w:val="21"/>
          <w:szCs w:val="24"/>
          <w:highlight w:val="none"/>
          <w:lang w:val="en-US" w:eastAsia="zh-CN" w:bidi="ar"/>
        </w:rPr>
        <w:t>客户服务热线：95577</w:t>
      </w:r>
    </w:p>
    <w:p>
      <w:pPr>
        <w:keepNext w:val="0"/>
        <w:keepLines w:val="0"/>
        <w:pageBreakBefore w:val="0"/>
        <w:tabs>
          <w:tab w:val="left" w:pos="1470"/>
        </w:tabs>
        <w:kinsoku/>
        <w:wordWrap/>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b w:val="0"/>
          <w:bCs/>
          <w:kern w:val="2"/>
          <w:sz w:val="21"/>
          <w:szCs w:val="21"/>
          <w:lang w:val="en-US" w:eastAsia="zh-CN" w:bidi="ar-SA"/>
        </w:rPr>
        <w:t>有关修改详见管理人更新后的</w:t>
      </w:r>
      <w:r>
        <w:rPr>
          <w:rFonts w:hint="default" w:ascii="宋体" w:hAnsi="宋体" w:eastAsia="宋体" w:cs="宋体"/>
          <w:b w:val="0"/>
          <w:bCs/>
          <w:kern w:val="2"/>
          <w:sz w:val="21"/>
          <w:szCs w:val="21"/>
          <w:lang w:val="en-US" w:eastAsia="zh-CN" w:bidi="ar-SA"/>
        </w:rPr>
        <w:t>《理财产品风险揭示书》《理财产品说明书》《理财产品投资者权益须知》及《理财产品投资协议书》</w:t>
      </w:r>
      <w:r>
        <w:rPr>
          <w:rFonts w:hint="eastAsia" w:ascii="宋体" w:hAnsi="宋体" w:eastAsia="宋体" w:cs="宋体"/>
          <w:b w:val="0"/>
          <w:bCs/>
          <w:kern w:val="2"/>
          <w:sz w:val="21"/>
          <w:szCs w:val="21"/>
          <w:lang w:val="en-US" w:eastAsia="zh-CN" w:bidi="ar-SA"/>
        </w:rPr>
        <w:t>。此次调整不会对存量份额持有人产生实质性影响</w:t>
      </w:r>
      <w:r>
        <w:rPr>
          <w:rFonts w:hint="eastAsia" w:ascii="宋体" w:hAnsi="宋体" w:cs="宋体"/>
          <w:b w:val="0"/>
          <w:bCs/>
          <w:kern w:val="2"/>
          <w:sz w:val="21"/>
          <w:szCs w:val="21"/>
          <w:lang w:val="en-US" w:eastAsia="zh-CN" w:bidi="ar-SA"/>
        </w:rPr>
        <w:t>，</w:t>
      </w:r>
      <w:r>
        <w:rPr>
          <w:rFonts w:hint="eastAsia" w:ascii="宋体" w:hAnsi="宋体" w:eastAsia="宋体" w:cs="宋体"/>
          <w:sz w:val="21"/>
          <w:szCs w:val="21"/>
          <w:lang w:val="en-US" w:eastAsia="zh-CN"/>
        </w:rPr>
        <w:t>投资者可在每个产品开放日通过代理销售机构办理相关业务。</w:t>
      </w:r>
    </w:p>
    <w:p>
      <w:pPr>
        <w:pStyle w:val="6"/>
        <w:keepNext w:val="0"/>
        <w:keepLines w:val="0"/>
        <w:pageBreakBefore w:val="0"/>
        <w:tabs>
          <w:tab w:val="left" w:pos="1470"/>
        </w:tabs>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感谢您</w:t>
      </w:r>
      <w:r>
        <w:rPr>
          <w:rFonts w:hint="eastAsia" w:ascii="宋体" w:hAnsi="宋体" w:eastAsia="宋体" w:cs="宋体"/>
          <w:sz w:val="21"/>
          <w:szCs w:val="21"/>
          <w:lang w:val="en-US" w:eastAsia="zh-CN"/>
        </w:rPr>
        <w:t>一直以来</w:t>
      </w:r>
      <w:r>
        <w:rPr>
          <w:rFonts w:hint="eastAsia" w:ascii="宋体" w:hAnsi="宋体" w:eastAsia="宋体" w:cs="宋体"/>
          <w:sz w:val="21"/>
          <w:szCs w:val="21"/>
        </w:rPr>
        <w:t>对</w:t>
      </w:r>
      <w:r>
        <w:rPr>
          <w:rFonts w:hint="eastAsia" w:ascii="宋体" w:hAnsi="宋体" w:eastAsia="宋体" w:cs="宋体"/>
          <w:sz w:val="21"/>
          <w:szCs w:val="21"/>
          <w:lang w:val="en-US" w:eastAsia="zh-CN"/>
        </w:rPr>
        <w:t>民生理财有限责任公司的</w:t>
      </w:r>
      <w:r>
        <w:rPr>
          <w:rFonts w:hint="eastAsia" w:ascii="宋体" w:hAnsi="宋体" w:eastAsia="宋体" w:cs="宋体"/>
          <w:sz w:val="21"/>
          <w:szCs w:val="21"/>
        </w:rPr>
        <w:t>支持！敬请关注民生</w:t>
      </w:r>
      <w:r>
        <w:rPr>
          <w:rFonts w:hint="eastAsia" w:ascii="宋体" w:hAnsi="宋体" w:eastAsia="宋体" w:cs="宋体"/>
          <w:sz w:val="21"/>
          <w:szCs w:val="21"/>
          <w:lang w:val="en-US" w:eastAsia="zh-CN"/>
        </w:rPr>
        <w:t>理财正在热销</w:t>
      </w:r>
      <w:r>
        <w:rPr>
          <w:rFonts w:hint="eastAsia" w:ascii="宋体" w:hAnsi="宋体" w:eastAsia="宋体" w:cs="宋体"/>
          <w:sz w:val="21"/>
          <w:szCs w:val="21"/>
        </w:rPr>
        <w:t>的理财产品。</w:t>
      </w:r>
    </w:p>
    <w:p>
      <w:pPr>
        <w:pStyle w:val="6"/>
        <w:keepNext w:val="0"/>
        <w:keepLines w:val="0"/>
        <w:pageBreakBefore w:val="0"/>
        <w:tabs>
          <w:tab w:val="left" w:pos="1470"/>
        </w:tabs>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特此公告。</w:t>
      </w:r>
    </w:p>
    <w:p>
      <w:pPr>
        <w:pStyle w:val="6"/>
        <w:keepNext w:val="0"/>
        <w:keepLines w:val="0"/>
        <w:pageBreakBefore w:val="0"/>
        <w:tabs>
          <w:tab w:val="left" w:pos="1470"/>
        </w:tabs>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sz w:val="21"/>
          <w:szCs w:val="21"/>
        </w:rPr>
      </w:pPr>
    </w:p>
    <w:p>
      <w:pPr>
        <w:pStyle w:val="6"/>
        <w:keepNext w:val="0"/>
        <w:keepLines w:val="0"/>
        <w:pageBreakBefore w:val="0"/>
        <w:tabs>
          <w:tab w:val="left" w:pos="1470"/>
        </w:tabs>
        <w:kinsoku/>
        <w:wordWrap/>
        <w:overflowPunct/>
        <w:topLinePunct w:val="0"/>
        <w:autoSpaceDE/>
        <w:autoSpaceDN/>
        <w:bidi w:val="0"/>
        <w:adjustRightInd/>
        <w:snapToGrid/>
        <w:spacing w:line="360" w:lineRule="auto"/>
        <w:ind w:left="0" w:leftChars="0" w:right="0" w:rightChars="0" w:firstLine="420" w:firstLineChars="200"/>
        <w:jc w:val="righ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民生理财有限责任公司</w:t>
      </w:r>
    </w:p>
    <w:p>
      <w:pPr>
        <w:pStyle w:val="6"/>
        <w:keepNext w:val="0"/>
        <w:keepLines w:val="0"/>
        <w:pageBreakBefore w:val="0"/>
        <w:tabs>
          <w:tab w:val="left" w:pos="1470"/>
        </w:tabs>
        <w:kinsoku/>
        <w:wordWrap/>
        <w:overflowPunct/>
        <w:topLinePunct w:val="0"/>
        <w:autoSpaceDE/>
        <w:autoSpaceDN/>
        <w:bidi w:val="0"/>
        <w:adjustRightInd/>
        <w:snapToGrid/>
        <w:spacing w:line="360" w:lineRule="auto"/>
        <w:ind w:left="0" w:leftChars="0" w:right="0" w:rightChars="0" w:firstLine="420" w:firstLineChars="200"/>
        <w:jc w:val="right"/>
        <w:textAlignment w:val="auto"/>
        <w:rPr>
          <w:rFonts w:hint="eastAsia" w:ascii="宋体" w:hAnsi="宋体" w:eastAsia="宋体" w:cs="宋体"/>
          <w:sz w:val="21"/>
          <w:szCs w:val="21"/>
          <w:lang w:val="en-US" w:eastAsia="zh-CN"/>
        </w:rPr>
      </w:pPr>
      <w:bookmarkStart w:id="19" w:name="Text7"/>
      <w:r>
        <w:rPr>
          <w:rFonts w:hint="eastAsia" w:ascii="宋体" w:hAnsi="宋体" w:eastAsia="宋体" w:cs="宋体"/>
          <w:kern w:val="2"/>
          <w:sz w:val="21"/>
          <w:szCs w:val="21"/>
          <w:vertAlign w:val="baseline"/>
          <w:lang w:val="en-US" w:eastAsia="zh-CN" w:bidi="ar-SA"/>
        </w:rPr>
        <w:t>2025年5月13日</w:t>
      </w:r>
      <w:bookmarkEnd w:id="19"/>
    </w:p>
    <w:bookmarkEnd w:id="2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637FCF"/>
    <w:rsid w:val="00B94B98"/>
    <w:rsid w:val="00D01542"/>
    <w:rsid w:val="0119290C"/>
    <w:rsid w:val="011E22A5"/>
    <w:rsid w:val="01711626"/>
    <w:rsid w:val="01D03BB3"/>
    <w:rsid w:val="02BA2A0B"/>
    <w:rsid w:val="02C103E8"/>
    <w:rsid w:val="02CD2B18"/>
    <w:rsid w:val="030F09AF"/>
    <w:rsid w:val="04F27D1F"/>
    <w:rsid w:val="05701266"/>
    <w:rsid w:val="058E0893"/>
    <w:rsid w:val="05AB50DB"/>
    <w:rsid w:val="05CB0295"/>
    <w:rsid w:val="065F2600"/>
    <w:rsid w:val="066324B6"/>
    <w:rsid w:val="06655073"/>
    <w:rsid w:val="070815B1"/>
    <w:rsid w:val="072A18BF"/>
    <w:rsid w:val="090614F3"/>
    <w:rsid w:val="0949658A"/>
    <w:rsid w:val="094F7CD1"/>
    <w:rsid w:val="0BA00B5F"/>
    <w:rsid w:val="0D307569"/>
    <w:rsid w:val="0D39380C"/>
    <w:rsid w:val="0E1E38F5"/>
    <w:rsid w:val="0E5D24D6"/>
    <w:rsid w:val="0E84390F"/>
    <w:rsid w:val="0F101C83"/>
    <w:rsid w:val="0F6777DE"/>
    <w:rsid w:val="0F7E213C"/>
    <w:rsid w:val="0FF26413"/>
    <w:rsid w:val="10097209"/>
    <w:rsid w:val="110A7385"/>
    <w:rsid w:val="11A41173"/>
    <w:rsid w:val="11C61AC3"/>
    <w:rsid w:val="121F5A22"/>
    <w:rsid w:val="13130346"/>
    <w:rsid w:val="134D53A7"/>
    <w:rsid w:val="136C3FC9"/>
    <w:rsid w:val="13D209C0"/>
    <w:rsid w:val="14427871"/>
    <w:rsid w:val="145C6999"/>
    <w:rsid w:val="14697FD5"/>
    <w:rsid w:val="14800EEB"/>
    <w:rsid w:val="160259C5"/>
    <w:rsid w:val="16A55177"/>
    <w:rsid w:val="17A90B89"/>
    <w:rsid w:val="17CC230C"/>
    <w:rsid w:val="17CE0A62"/>
    <w:rsid w:val="17EF7C85"/>
    <w:rsid w:val="18BF797F"/>
    <w:rsid w:val="199873A7"/>
    <w:rsid w:val="19D24A40"/>
    <w:rsid w:val="1A582853"/>
    <w:rsid w:val="1AA4758C"/>
    <w:rsid w:val="1C2721F1"/>
    <w:rsid w:val="1C3E504A"/>
    <w:rsid w:val="1C85102B"/>
    <w:rsid w:val="1CE5034C"/>
    <w:rsid w:val="1E051523"/>
    <w:rsid w:val="1E2F072D"/>
    <w:rsid w:val="1FE92264"/>
    <w:rsid w:val="20397E91"/>
    <w:rsid w:val="20536FB9"/>
    <w:rsid w:val="205468F0"/>
    <w:rsid w:val="20724988"/>
    <w:rsid w:val="208732C1"/>
    <w:rsid w:val="213C310A"/>
    <w:rsid w:val="2219685C"/>
    <w:rsid w:val="22867CC2"/>
    <w:rsid w:val="24310265"/>
    <w:rsid w:val="247B45E7"/>
    <w:rsid w:val="24B33DA7"/>
    <w:rsid w:val="24D1520C"/>
    <w:rsid w:val="24D44A97"/>
    <w:rsid w:val="259B2606"/>
    <w:rsid w:val="25C1601B"/>
    <w:rsid w:val="25D078E2"/>
    <w:rsid w:val="263D03D3"/>
    <w:rsid w:val="26763DFB"/>
    <w:rsid w:val="26C7447F"/>
    <w:rsid w:val="279772B3"/>
    <w:rsid w:val="27DA724D"/>
    <w:rsid w:val="282947F3"/>
    <w:rsid w:val="28AC2371"/>
    <w:rsid w:val="29040956"/>
    <w:rsid w:val="29225ADF"/>
    <w:rsid w:val="2A055BE8"/>
    <w:rsid w:val="2A1E585F"/>
    <w:rsid w:val="2A9A1EF5"/>
    <w:rsid w:val="2AEF3878"/>
    <w:rsid w:val="2B76703A"/>
    <w:rsid w:val="2B7F517B"/>
    <w:rsid w:val="2CD2711E"/>
    <w:rsid w:val="2D104B23"/>
    <w:rsid w:val="2D953FBC"/>
    <w:rsid w:val="2EC939E8"/>
    <w:rsid w:val="2F9735BE"/>
    <w:rsid w:val="2FE54FFE"/>
    <w:rsid w:val="32A27B1D"/>
    <w:rsid w:val="345A58AB"/>
    <w:rsid w:val="348219C2"/>
    <w:rsid w:val="34B643B7"/>
    <w:rsid w:val="34B86E5C"/>
    <w:rsid w:val="35B8208A"/>
    <w:rsid w:val="36034CE4"/>
    <w:rsid w:val="364D63EA"/>
    <w:rsid w:val="368015C9"/>
    <w:rsid w:val="3771784D"/>
    <w:rsid w:val="37932CC7"/>
    <w:rsid w:val="37C75B0A"/>
    <w:rsid w:val="38145279"/>
    <w:rsid w:val="38466C54"/>
    <w:rsid w:val="385E5C0C"/>
    <w:rsid w:val="3BED3519"/>
    <w:rsid w:val="3D5D5A1C"/>
    <w:rsid w:val="3DE8684F"/>
    <w:rsid w:val="3E61605F"/>
    <w:rsid w:val="3EFE3F03"/>
    <w:rsid w:val="3FF25841"/>
    <w:rsid w:val="40126CC4"/>
    <w:rsid w:val="40A53F33"/>
    <w:rsid w:val="41A42AF9"/>
    <w:rsid w:val="43505534"/>
    <w:rsid w:val="43D44810"/>
    <w:rsid w:val="448C255B"/>
    <w:rsid w:val="45B01E1F"/>
    <w:rsid w:val="46571E60"/>
    <w:rsid w:val="46CB0A54"/>
    <w:rsid w:val="47CA5719"/>
    <w:rsid w:val="48EC70BB"/>
    <w:rsid w:val="49B45094"/>
    <w:rsid w:val="4A0064B4"/>
    <w:rsid w:val="4A94318F"/>
    <w:rsid w:val="4B056A7D"/>
    <w:rsid w:val="4B206E0E"/>
    <w:rsid w:val="4B2C1A33"/>
    <w:rsid w:val="4CB4682F"/>
    <w:rsid w:val="4D626914"/>
    <w:rsid w:val="4DFE2E32"/>
    <w:rsid w:val="4E5578AC"/>
    <w:rsid w:val="509D23DD"/>
    <w:rsid w:val="51CB73DF"/>
    <w:rsid w:val="5217023B"/>
    <w:rsid w:val="525B6A04"/>
    <w:rsid w:val="54FE65AB"/>
    <w:rsid w:val="5808024E"/>
    <w:rsid w:val="58A13F6B"/>
    <w:rsid w:val="598A66DE"/>
    <w:rsid w:val="59FE204F"/>
    <w:rsid w:val="5B0B1B8C"/>
    <w:rsid w:val="5B166B6B"/>
    <w:rsid w:val="5B232664"/>
    <w:rsid w:val="5C3B12A9"/>
    <w:rsid w:val="5CCD537D"/>
    <w:rsid w:val="5D8764E9"/>
    <w:rsid w:val="5DC179FF"/>
    <w:rsid w:val="5ED5205C"/>
    <w:rsid w:val="60BA277C"/>
    <w:rsid w:val="6142577F"/>
    <w:rsid w:val="629E2BD8"/>
    <w:rsid w:val="632D03EB"/>
    <w:rsid w:val="636F045F"/>
    <w:rsid w:val="63D55608"/>
    <w:rsid w:val="641C1EF0"/>
    <w:rsid w:val="64783328"/>
    <w:rsid w:val="649A2F75"/>
    <w:rsid w:val="649B5961"/>
    <w:rsid w:val="6571624E"/>
    <w:rsid w:val="660C147E"/>
    <w:rsid w:val="661D1C23"/>
    <w:rsid w:val="667A6BA5"/>
    <w:rsid w:val="673533A0"/>
    <w:rsid w:val="67952179"/>
    <w:rsid w:val="67E950D6"/>
    <w:rsid w:val="68101B70"/>
    <w:rsid w:val="68331B48"/>
    <w:rsid w:val="68E7276B"/>
    <w:rsid w:val="69F61967"/>
    <w:rsid w:val="6AC52656"/>
    <w:rsid w:val="6B52734E"/>
    <w:rsid w:val="6B6C4554"/>
    <w:rsid w:val="6BC50D76"/>
    <w:rsid w:val="6C3A03E1"/>
    <w:rsid w:val="6CA639CD"/>
    <w:rsid w:val="6D3A1056"/>
    <w:rsid w:val="6E190722"/>
    <w:rsid w:val="6EC868EA"/>
    <w:rsid w:val="6EDF073E"/>
    <w:rsid w:val="6EDF4F45"/>
    <w:rsid w:val="6F5649DA"/>
    <w:rsid w:val="6F952C46"/>
    <w:rsid w:val="701E2304"/>
    <w:rsid w:val="703C33AA"/>
    <w:rsid w:val="70E61A7D"/>
    <w:rsid w:val="71151333"/>
    <w:rsid w:val="71B2527A"/>
    <w:rsid w:val="723939C7"/>
    <w:rsid w:val="724805E1"/>
    <w:rsid w:val="726C37BE"/>
    <w:rsid w:val="7299748B"/>
    <w:rsid w:val="74661472"/>
    <w:rsid w:val="74E8615B"/>
    <w:rsid w:val="75CC3AF4"/>
    <w:rsid w:val="762E0520"/>
    <w:rsid w:val="76450353"/>
    <w:rsid w:val="76635464"/>
    <w:rsid w:val="78027672"/>
    <w:rsid w:val="7AB80DFB"/>
    <w:rsid w:val="7B12229E"/>
    <w:rsid w:val="7B4870C0"/>
    <w:rsid w:val="7BCA7537"/>
    <w:rsid w:val="7BF21F72"/>
    <w:rsid w:val="7C3A3560"/>
    <w:rsid w:val="7C611327"/>
    <w:rsid w:val="7C6F21CC"/>
    <w:rsid w:val="7C7620C0"/>
    <w:rsid w:val="7CB11915"/>
    <w:rsid w:val="7CB329A2"/>
    <w:rsid w:val="7CBE07C6"/>
    <w:rsid w:val="7D395FCA"/>
    <w:rsid w:val="7F4A08E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
    <w:name w:val="p0"/>
    <w:basedOn w:val="1"/>
    <w:qFormat/>
    <w:uiPriority w:val="0"/>
    <w:pPr>
      <w:widowControl/>
    </w:pPr>
    <w:rPr>
      <w:rFonts w:ascii="Calibri" w:hAnsi="Calibri" w:eastAsia="宋体" w:cs="宋体"/>
      <w:kern w:val="0"/>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Office_11.8.0.16981_F1E327BC-269C-435d-A152-05C5408002CA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cmbc</dc:creator>
  <cp:lastModifiedBy>cmbc</cp:lastModifiedBy>
  <dcterms:modified xsi:type="dcterms:W3CDTF">2025-05-12T02:32:18Z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2052-11.8.0.16981</vt:lpwstr>
  </property>
  <property fmtid="{D5CDD505-2E9C-101B-9397-08002B2CF9AE}" pid="3" name="_KSOProductBuildMID">
    <vt:lpwstr>SKWMQ6GH79TA00HG9GR8QL0S7ZQ0OYYREF0XLJDXXGHRTDWTZ8BJQCJ7FSVHPC6RXNM6EOZGZH078LJJQFFARFFV8RZ0WIWBBSODPHB370F99C75F283EAF0B45A49C0E78BB8F1</vt:lpwstr>
  </property>
  <property fmtid="{D5CDD505-2E9C-101B-9397-08002B2CF9AE}" pid="4" name="_KSOProductBuildSID">
    <vt:lpwstr>CYWFY6GK797Q0V9G9GRNRL0R7NM0OAPRQE0XXJD8XFFRTGLTZMBRVCJ6FYRHPFIRBEMXSOL0ZIAD8MXJRJFTKF8D8RN0WILBAEOOKHB38BFB6C01E14924F7B69E288ABD103A3E</vt:lpwstr>
  </property>
  <property fmtid="{D5CDD505-2E9C-101B-9397-08002B2CF9AE}" pid="5" name="ICV">
    <vt:lpwstr>D08AAFF2E0BD44C88344E786062F0E6B</vt:lpwstr>
  </property>
</Properties>
</file>