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4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0"/>
        <w:gridCol w:w="1800"/>
        <w:gridCol w:w="200"/>
        <w:gridCol w:w="2600"/>
        <w:gridCol w:w="600"/>
        <w:gridCol w:w="440"/>
        <w:gridCol w:w="1560"/>
        <w:gridCol w:w="2000"/>
        <w:gridCol w:w="2000"/>
        <w:gridCol w:w="40"/>
        <w:gridCol w:w="760"/>
        <w:gridCol w:w="1000"/>
      </w:tblGrid>
      <w:tr w:rsidR="001F3BC2">
        <w:trPr>
          <w:trHeight w:hRule="exact" w:val="1800"/>
        </w:trPr>
        <w:tc>
          <w:tcPr>
            <w:tcW w:w="13840" w:type="dxa"/>
            <w:gridSpan w:val="13"/>
            <w:shd w:val="clear" w:color="auto" w:fill="FF33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4000"/>
              <w:gridCol w:w="1200"/>
              <w:gridCol w:w="7400"/>
              <w:gridCol w:w="1400"/>
            </w:tblGrid>
            <w:tr w:rsidR="001F3BC2">
              <w:trPr>
                <w:trHeight w:hRule="exact" w:val="400"/>
              </w:trPr>
              <w:tc>
                <w:tcPr>
                  <w:tcW w:w="6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  <w:bookmarkStart w:id="0" w:name="JR_PAGE_ANCHOR_0_1"/>
                  <w:bookmarkEnd w:id="0"/>
                </w:p>
              </w:tc>
              <w:tc>
                <w:tcPr>
                  <w:tcW w:w="40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74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4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1F3BC2">
              <w:trPr>
                <w:trHeight w:hRule="exact" w:val="400"/>
              </w:trPr>
              <w:tc>
                <w:tcPr>
                  <w:tcW w:w="6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3BC2" w:rsidRDefault="00B96FE4">
                  <w:pPr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  <w:noProof/>
                    </w:rPr>
                    <w:drawing>
                      <wp:inline distT="0" distB="0" distL="0" distR="0">
                        <wp:extent cx="2311400" cy="635000"/>
                        <wp:effectExtent l="0" t="0" r="0" b="0"/>
                        <wp:docPr id="90153431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1534313" name="Picture"/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140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74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4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1F3BC2">
              <w:trPr>
                <w:trHeight w:hRule="exact" w:val="600"/>
              </w:trPr>
              <w:tc>
                <w:tcPr>
                  <w:tcW w:w="6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3BC2" w:rsidRDefault="00B96FE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cs="微软雅黑CD"/>
                      <w:b/>
                      <w:color w:val="FFFFFF"/>
                      <w:sz w:val="36"/>
                    </w:rPr>
                    <w:t>理财产品临时公告</w:t>
                  </w:r>
                </w:p>
              </w:tc>
              <w:tc>
                <w:tcPr>
                  <w:tcW w:w="1400" w:type="dxa"/>
                </w:tcPr>
                <w:p w:rsidR="001F3BC2" w:rsidRDefault="001F3BC2">
                  <w:pPr>
                    <w:pStyle w:val="EMPTYCELLSTYLE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</w:tr>
      <w:tr w:rsidR="001F3BC2">
        <w:trPr>
          <w:trHeight w:hRule="exact" w:val="200"/>
        </w:trPr>
        <w:tc>
          <w:tcPr>
            <w:tcW w:w="4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0" w:type="dxa"/>
          </w:tcPr>
          <w:p w:rsidR="001F3BC2" w:rsidRDefault="001F3BC2">
            <w:pPr>
              <w:pStyle w:val="EMPTYCELLSTYLE"/>
              <w:rPr>
                <w:rFonts w:asciiTheme="minorEastAsia" w:eastAsiaTheme="minorEastAsia" w:hAnsiTheme="minorEastAsia"/>
              </w:rPr>
            </w:pPr>
          </w:p>
        </w:tc>
      </w:tr>
    </w:tbl>
    <w:p w:rsidR="001F3BC2" w:rsidRDefault="001F3BC2">
      <w:pPr>
        <w:pStyle w:val="p0"/>
        <w:snapToGrid w:val="0"/>
        <w:spacing w:before="0" w:beforeAutospacing="0" w:after="0" w:afterAutospacing="0" w:line="560" w:lineRule="atLeast"/>
        <w:jc w:val="center"/>
        <w:rPr>
          <w:rFonts w:asciiTheme="minorEastAsia" w:eastAsiaTheme="minorEastAsia" w:hAnsiTheme="minorEastAsia" w:cs="黑体"/>
          <w:sz w:val="32"/>
          <w:szCs w:val="32"/>
        </w:rPr>
      </w:pPr>
    </w:p>
    <w:p w:rsidR="001F3BC2" w:rsidRDefault="002E5A1B">
      <w:pPr>
        <w:pStyle w:val="p0"/>
        <w:snapToGrid w:val="0"/>
        <w:spacing w:before="0" w:beforeAutospacing="0" w:after="0" w:afterAutospacing="0" w:line="560" w:lineRule="atLeast"/>
        <w:jc w:val="center"/>
        <w:rPr>
          <w:rFonts w:asciiTheme="minorEastAsia" w:eastAsiaTheme="minorEastAsia" w:hAnsiTheme="minorEastAsia" w:cs="微软雅黑CD"/>
          <w:b/>
          <w:color w:val="000000"/>
          <w:sz w:val="32"/>
          <w:szCs w:val="20"/>
        </w:rPr>
      </w:pPr>
      <w:r w:rsidRPr="002E5A1B">
        <w:rPr>
          <w:rFonts w:asciiTheme="minorEastAsia" w:eastAsiaTheme="minorEastAsia" w:hAnsiTheme="minorEastAsia" w:cs="微软雅黑CD" w:hint="eastAsia"/>
          <w:b/>
          <w:color w:val="000000"/>
          <w:sz w:val="32"/>
          <w:szCs w:val="20"/>
        </w:rPr>
        <w:t>信银理财安盈象固收稳健三个月持有期13号理财产品</w:t>
      </w:r>
    </w:p>
    <w:p w:rsidR="001F3BC2" w:rsidRDefault="000B18B1">
      <w:pPr>
        <w:pStyle w:val="p0"/>
        <w:snapToGrid w:val="0"/>
        <w:spacing w:before="0" w:beforeAutospacing="0" w:after="0" w:afterAutospacing="0" w:line="560" w:lineRule="atLeast"/>
        <w:jc w:val="center"/>
        <w:rPr>
          <w:rFonts w:asciiTheme="minorEastAsia" w:eastAsiaTheme="minorEastAsia" w:hAnsiTheme="minorEastAsia" w:cs="微软雅黑CD"/>
          <w:b/>
          <w:color w:val="000000"/>
          <w:sz w:val="32"/>
          <w:szCs w:val="20"/>
        </w:rPr>
      </w:pPr>
      <w:r w:rsidRPr="000B18B1">
        <w:rPr>
          <w:rFonts w:asciiTheme="minorEastAsia" w:eastAsiaTheme="minorEastAsia" w:hAnsiTheme="minorEastAsia" w:cs="微软雅黑CD" w:hint="eastAsia"/>
          <w:b/>
          <w:color w:val="000000"/>
          <w:sz w:val="32"/>
          <w:szCs w:val="20"/>
        </w:rPr>
        <w:t>增加合作销售机构</w:t>
      </w:r>
      <w:r w:rsidR="00B96FE4">
        <w:rPr>
          <w:rFonts w:asciiTheme="minorEastAsia" w:eastAsiaTheme="minorEastAsia" w:hAnsiTheme="minorEastAsia" w:cs="微软雅黑CD"/>
          <w:b/>
          <w:color w:val="000000"/>
          <w:sz w:val="32"/>
          <w:szCs w:val="20"/>
        </w:rPr>
        <w:t>公告</w:t>
      </w:r>
    </w:p>
    <w:p w:rsidR="001F3BC2" w:rsidRDefault="001F3BC2">
      <w:pPr>
        <w:pStyle w:val="p0"/>
        <w:snapToGrid w:val="0"/>
        <w:spacing w:before="0" w:beforeAutospacing="0" w:after="0" w:afterAutospacing="0" w:line="560" w:lineRule="atLeast"/>
        <w:jc w:val="both"/>
        <w:rPr>
          <w:rFonts w:asciiTheme="minorEastAsia" w:eastAsiaTheme="minorEastAsia" w:hAnsiTheme="minorEastAsia" w:cs="仿宋_GB2312"/>
          <w:sz w:val="28"/>
          <w:szCs w:val="28"/>
        </w:rPr>
      </w:pPr>
    </w:p>
    <w:p w:rsidR="000B18B1" w:rsidRDefault="000B18B1">
      <w:pPr>
        <w:pStyle w:val="p0"/>
        <w:snapToGrid w:val="0"/>
        <w:spacing w:before="0" w:beforeAutospacing="0" w:after="0" w:afterAutospacing="0" w:line="560" w:lineRule="atLeast"/>
        <w:jc w:val="both"/>
        <w:rPr>
          <w:rFonts w:asciiTheme="minorEastAsia" w:eastAsiaTheme="minorEastAsia" w:hAnsiTheme="minorEastAsia" w:cs="仿宋_GB2312"/>
          <w:sz w:val="28"/>
          <w:szCs w:val="28"/>
        </w:rPr>
      </w:pPr>
    </w:p>
    <w:p w:rsidR="001F3BC2" w:rsidRDefault="00B96FE4" w:rsidP="000B18B1">
      <w:pPr>
        <w:pStyle w:val="p0"/>
        <w:snapToGrid w:val="0"/>
        <w:spacing w:before="0" w:beforeAutospacing="0" w:after="0" w:afterAutospacing="0" w:line="480" w:lineRule="auto"/>
        <w:ind w:leftChars="567" w:left="1134" w:rightChars="504" w:right="1008"/>
        <w:contextualSpacing/>
        <w:jc w:val="both"/>
        <w:rPr>
          <w:rFonts w:asciiTheme="minorEastAsia" w:eastAsiaTheme="minorEastAsia" w:hAnsiTheme="minorEastAsia" w:cs="微软雅黑CD"/>
          <w:color w:val="000000"/>
          <w:sz w:val="28"/>
          <w:szCs w:val="28"/>
        </w:rPr>
      </w:pPr>
      <w:r>
        <w:rPr>
          <w:rFonts w:asciiTheme="minorEastAsia" w:eastAsiaTheme="minorEastAsia" w:hAnsiTheme="minorEastAsia" w:cs="微软雅黑CD"/>
          <w:color w:val="000000"/>
          <w:sz w:val="28"/>
          <w:szCs w:val="28"/>
        </w:rPr>
        <w:t>尊敬的客户：</w:t>
      </w:r>
    </w:p>
    <w:p w:rsidR="00C754E7" w:rsidRPr="00B623FD" w:rsidRDefault="00B96FE4" w:rsidP="000B18B1">
      <w:pPr>
        <w:pStyle w:val="p0"/>
        <w:snapToGrid w:val="0"/>
        <w:spacing w:before="0" w:beforeAutospacing="0" w:after="0" w:afterAutospacing="0" w:line="480" w:lineRule="auto"/>
        <w:ind w:leftChars="567" w:left="1134" w:rightChars="504" w:right="1008" w:firstLineChars="200" w:firstLine="560"/>
        <w:contextualSpacing/>
        <w:jc w:val="both"/>
        <w:rPr>
          <w:rFonts w:asciiTheme="minorEastAsia" w:eastAsiaTheme="minorEastAsia" w:hAnsiTheme="minorEastAsia" w:cs="微软雅黑CD"/>
          <w:color w:val="000000"/>
          <w:sz w:val="28"/>
          <w:szCs w:val="28"/>
        </w:rPr>
      </w:pPr>
      <w:r>
        <w:rPr>
          <w:rFonts w:asciiTheme="minorEastAsia" w:eastAsiaTheme="minorEastAsia" w:hAnsiTheme="minorEastAsia" w:cs="微软雅黑CD"/>
          <w:color w:val="000000"/>
          <w:sz w:val="28"/>
          <w:szCs w:val="28"/>
        </w:rPr>
        <w:t>我司决定对</w:t>
      </w:r>
      <w:r w:rsidR="002E5A1B" w:rsidRPr="002E5A1B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信银理财安盈象固收稳健三个月持有期13号理财产品（产品代码：AF233411）</w:t>
      </w:r>
      <w:r w:rsidR="002E5A1B">
        <w:rPr>
          <w:rFonts w:asciiTheme="minorEastAsia" w:eastAsiaTheme="minorEastAsia" w:hAnsiTheme="minorEastAsia" w:cs="微软雅黑CD"/>
          <w:color w:val="000000"/>
          <w:sz w:val="28"/>
          <w:szCs w:val="28"/>
        </w:rPr>
        <w:t>B</w:t>
      </w:r>
      <w:r w:rsidR="00C754E7"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类</w:t>
      </w:r>
      <w:r w:rsidR="00C754E7" w:rsidRPr="00B623FD">
        <w:rPr>
          <w:rFonts w:asciiTheme="minorEastAsia" w:eastAsiaTheme="minorEastAsia" w:hAnsiTheme="minorEastAsia" w:cs="微软雅黑CD"/>
          <w:color w:val="000000"/>
          <w:sz w:val="28"/>
          <w:szCs w:val="28"/>
        </w:rPr>
        <w:t>份额</w:t>
      </w:r>
      <w:r w:rsidR="00C754E7"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（份额代码</w:t>
      </w:r>
      <w:r w:rsidR="00C754E7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：</w:t>
      </w:r>
      <w:r w:rsidR="002E5A1B" w:rsidRPr="002E5A1B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AF233411</w:t>
      </w:r>
      <w:r w:rsidR="002E5A1B">
        <w:rPr>
          <w:rFonts w:asciiTheme="minorEastAsia" w:eastAsiaTheme="minorEastAsia" w:hAnsiTheme="minorEastAsia" w:cs="微软雅黑CD"/>
          <w:color w:val="000000"/>
          <w:sz w:val="28"/>
          <w:szCs w:val="28"/>
        </w:rPr>
        <w:t>B</w:t>
      </w:r>
      <w:r w:rsidR="00C754E7"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）自202</w:t>
      </w:r>
      <w:r w:rsidR="00C754E7">
        <w:rPr>
          <w:rFonts w:asciiTheme="minorEastAsia" w:eastAsiaTheme="minorEastAsia" w:hAnsiTheme="minorEastAsia" w:cs="微软雅黑CD"/>
          <w:color w:val="000000"/>
          <w:sz w:val="28"/>
          <w:szCs w:val="28"/>
        </w:rPr>
        <w:t>5</w:t>
      </w:r>
      <w:r w:rsidR="00C754E7"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年</w:t>
      </w:r>
      <w:r w:rsidR="0030194D">
        <w:rPr>
          <w:rFonts w:asciiTheme="minorEastAsia" w:eastAsiaTheme="minorEastAsia" w:hAnsiTheme="minorEastAsia" w:cs="微软雅黑CD"/>
          <w:color w:val="000000"/>
          <w:sz w:val="28"/>
          <w:szCs w:val="28"/>
        </w:rPr>
        <w:t>4</w:t>
      </w:r>
      <w:r w:rsidR="00C754E7"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月</w:t>
      </w:r>
      <w:r w:rsidR="0030194D">
        <w:rPr>
          <w:rFonts w:asciiTheme="minorEastAsia" w:eastAsiaTheme="minorEastAsia" w:hAnsiTheme="minorEastAsia" w:cs="微软雅黑CD"/>
          <w:color w:val="000000"/>
          <w:sz w:val="28"/>
          <w:szCs w:val="28"/>
        </w:rPr>
        <w:t>16</w:t>
      </w:r>
      <w:r w:rsidR="00C754E7"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 xml:space="preserve">日起增加合作销售机构，具体如下： </w:t>
      </w:r>
    </w:p>
    <w:p w:rsidR="00C754E7" w:rsidRPr="00B623FD" w:rsidRDefault="00C754E7" w:rsidP="000B18B1">
      <w:pPr>
        <w:pStyle w:val="p0"/>
        <w:snapToGrid w:val="0"/>
        <w:spacing w:line="480" w:lineRule="auto"/>
        <w:ind w:leftChars="567" w:left="1134" w:rightChars="504" w:right="1008" w:firstLineChars="200" w:firstLine="560"/>
        <w:contextualSpacing/>
        <w:rPr>
          <w:rFonts w:asciiTheme="minorEastAsia" w:eastAsiaTheme="minorEastAsia" w:hAnsiTheme="minorEastAsia" w:cs="微软雅黑CD"/>
          <w:color w:val="000000"/>
          <w:sz w:val="28"/>
          <w:szCs w:val="28"/>
        </w:rPr>
      </w:pPr>
      <w:bookmarkStart w:id="1" w:name="_GoBack"/>
      <w:r w:rsidRPr="00B623FD">
        <w:rPr>
          <w:rFonts w:asciiTheme="minorEastAsia" w:eastAsiaTheme="minorEastAsia" w:hAnsiTheme="minorEastAsia" w:cs="微软雅黑CD"/>
          <w:color w:val="000000"/>
          <w:sz w:val="28"/>
          <w:szCs w:val="28"/>
        </w:rPr>
        <w:t>1</w:t>
      </w:r>
      <w:r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.企业名称：【</w:t>
      </w:r>
      <w:r w:rsidR="0030194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嘉兴</w:t>
      </w:r>
      <w:r w:rsidR="000B18B1" w:rsidRPr="000B18B1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银行股份有限公司</w:t>
      </w:r>
      <w:r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】</w:t>
      </w:r>
    </w:p>
    <w:p w:rsidR="00C754E7" w:rsidRPr="00B623FD" w:rsidRDefault="00C754E7" w:rsidP="000B18B1">
      <w:pPr>
        <w:pStyle w:val="p0"/>
        <w:snapToGrid w:val="0"/>
        <w:spacing w:line="480" w:lineRule="auto"/>
        <w:ind w:leftChars="567" w:left="1134" w:rightChars="504" w:right="1008" w:firstLineChars="200" w:firstLine="560"/>
        <w:contextualSpacing/>
        <w:rPr>
          <w:rFonts w:asciiTheme="minorEastAsia" w:eastAsiaTheme="minorEastAsia" w:hAnsiTheme="minorEastAsia" w:cs="微软雅黑CD"/>
          <w:color w:val="000000"/>
          <w:sz w:val="28"/>
          <w:szCs w:val="28"/>
        </w:rPr>
      </w:pPr>
      <w:r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统一社会信用代码：【</w:t>
      </w:r>
      <w:r w:rsidR="0030194D">
        <w:rPr>
          <w:rFonts w:asciiTheme="minorEastAsia" w:eastAsiaTheme="minorEastAsia" w:hAnsiTheme="minorEastAsia" w:cs="微软雅黑CD"/>
          <w:color w:val="000000"/>
          <w:sz w:val="28"/>
          <w:szCs w:val="28"/>
        </w:rPr>
        <w:t>91330000YA36010245</w:t>
      </w:r>
      <w:r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】</w:t>
      </w:r>
    </w:p>
    <w:p w:rsidR="00C754E7" w:rsidRPr="00B623FD" w:rsidRDefault="00C754E7" w:rsidP="000B18B1">
      <w:pPr>
        <w:pStyle w:val="p0"/>
        <w:snapToGrid w:val="0"/>
        <w:spacing w:line="480" w:lineRule="auto"/>
        <w:ind w:leftChars="567" w:left="1134" w:rightChars="504" w:right="1008" w:firstLineChars="200" w:firstLine="560"/>
        <w:contextualSpacing/>
        <w:rPr>
          <w:rFonts w:asciiTheme="minorEastAsia" w:eastAsiaTheme="minorEastAsia" w:hAnsiTheme="minorEastAsia" w:cs="微软雅黑CD"/>
          <w:color w:val="000000"/>
          <w:sz w:val="28"/>
          <w:szCs w:val="28"/>
        </w:rPr>
      </w:pPr>
      <w:r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住所：【</w:t>
      </w:r>
      <w:r w:rsidR="000B18B1" w:rsidRPr="000B18B1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浙江省</w:t>
      </w:r>
      <w:r w:rsidR="0030194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嘉兴</w:t>
      </w:r>
      <w:r w:rsidR="000B18B1" w:rsidRPr="000B18B1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市</w:t>
      </w:r>
      <w:r w:rsidR="0030194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昌盛南</w:t>
      </w:r>
      <w:r w:rsidR="000B18B1" w:rsidRPr="000B18B1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路</w:t>
      </w:r>
      <w:r w:rsidR="0030194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1</w:t>
      </w:r>
      <w:r w:rsidR="0030194D">
        <w:rPr>
          <w:rFonts w:asciiTheme="minorEastAsia" w:eastAsiaTheme="minorEastAsia" w:hAnsiTheme="minorEastAsia" w:cs="微软雅黑CD"/>
          <w:color w:val="000000"/>
          <w:sz w:val="28"/>
          <w:szCs w:val="28"/>
        </w:rPr>
        <w:t>001</w:t>
      </w:r>
      <w:r w:rsidR="000B18B1" w:rsidRPr="000B18B1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号</w:t>
      </w:r>
      <w:r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】</w:t>
      </w:r>
    </w:p>
    <w:p w:rsidR="00C754E7" w:rsidRPr="00B623FD" w:rsidRDefault="00C754E7" w:rsidP="000B18B1">
      <w:pPr>
        <w:pStyle w:val="p0"/>
        <w:snapToGrid w:val="0"/>
        <w:spacing w:line="480" w:lineRule="auto"/>
        <w:ind w:leftChars="567" w:left="1134" w:rightChars="504" w:right="1008" w:firstLineChars="200" w:firstLine="560"/>
        <w:contextualSpacing/>
        <w:jc w:val="both"/>
        <w:rPr>
          <w:rFonts w:asciiTheme="minorEastAsia" w:eastAsiaTheme="minorEastAsia" w:hAnsiTheme="minorEastAsia" w:cs="微软雅黑CD"/>
          <w:color w:val="000000"/>
          <w:sz w:val="28"/>
          <w:szCs w:val="28"/>
        </w:rPr>
      </w:pPr>
      <w:r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客户服务热线：【</w:t>
      </w:r>
      <w:r w:rsidR="0030194D">
        <w:rPr>
          <w:rFonts w:asciiTheme="minorEastAsia" w:eastAsiaTheme="minorEastAsia" w:hAnsiTheme="minorEastAsia" w:cs="微软雅黑CD"/>
          <w:color w:val="000000"/>
          <w:sz w:val="28"/>
          <w:szCs w:val="28"/>
        </w:rPr>
        <w:t>0573-96528</w:t>
      </w:r>
      <w:r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】</w:t>
      </w:r>
    </w:p>
    <w:bookmarkEnd w:id="1"/>
    <w:p w:rsidR="00C754E7" w:rsidRPr="00C754E7" w:rsidRDefault="00C754E7" w:rsidP="000B18B1">
      <w:pPr>
        <w:pStyle w:val="p0"/>
        <w:snapToGrid w:val="0"/>
        <w:spacing w:line="480" w:lineRule="auto"/>
        <w:ind w:leftChars="567" w:left="1134" w:rightChars="433" w:right="866" w:firstLineChars="200" w:firstLine="560"/>
        <w:contextualSpacing/>
        <w:rPr>
          <w:rFonts w:asciiTheme="minorEastAsia" w:eastAsiaTheme="minorEastAsia" w:hAnsiTheme="minorEastAsia" w:cs="微软雅黑CD"/>
          <w:color w:val="000000"/>
          <w:sz w:val="28"/>
          <w:szCs w:val="28"/>
        </w:rPr>
      </w:pPr>
      <w:r w:rsidRPr="00B623FD">
        <w:rPr>
          <w:rFonts w:asciiTheme="minorEastAsia" w:eastAsiaTheme="minorEastAsia" w:hAnsiTheme="minorEastAsia" w:cs="微软雅黑CD" w:hint="eastAsia"/>
          <w:color w:val="000000"/>
          <w:sz w:val="28"/>
          <w:szCs w:val="28"/>
        </w:rPr>
        <w:t>根据产品说明书的约定，如本产品合作销售机构有新增、减少和变更，信银理财将提前【2】个工作日内向投资者发布相关信息。</w:t>
      </w:r>
    </w:p>
    <w:p w:rsidR="001F3BC2" w:rsidRDefault="00B96FE4" w:rsidP="000B18B1">
      <w:pPr>
        <w:pStyle w:val="p0"/>
        <w:tabs>
          <w:tab w:val="left" w:pos="1276"/>
        </w:tabs>
        <w:snapToGrid w:val="0"/>
        <w:spacing w:line="480" w:lineRule="auto"/>
        <w:ind w:leftChars="567" w:left="1134" w:rightChars="504" w:right="1008" w:firstLineChars="203" w:firstLine="568"/>
        <w:contextualSpacing/>
        <w:jc w:val="both"/>
        <w:rPr>
          <w:rFonts w:asciiTheme="minorEastAsia" w:eastAsiaTheme="minorEastAsia" w:hAnsiTheme="minorEastAsia" w:cs="微软雅黑CD"/>
          <w:color w:val="000000"/>
          <w:sz w:val="28"/>
          <w:szCs w:val="28"/>
        </w:rPr>
      </w:pPr>
      <w:r>
        <w:rPr>
          <w:rFonts w:asciiTheme="minorEastAsia" w:eastAsiaTheme="minorEastAsia" w:hAnsiTheme="minorEastAsia" w:cs="微软雅黑CD"/>
          <w:color w:val="000000"/>
          <w:sz w:val="28"/>
          <w:szCs w:val="28"/>
        </w:rPr>
        <w:t>感谢您一直以来对信银理财有限责任公司的信赖与支持！敬请继续关注信银理财正在热销的理财产品。</w:t>
      </w:r>
    </w:p>
    <w:p w:rsidR="001F3BC2" w:rsidRDefault="00B96FE4" w:rsidP="000B18B1">
      <w:pPr>
        <w:pStyle w:val="p0"/>
        <w:snapToGrid w:val="0"/>
        <w:spacing w:before="0" w:beforeAutospacing="0" w:after="0" w:afterAutospacing="0" w:line="480" w:lineRule="auto"/>
        <w:contextualSpacing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 xml:space="preserve">     </w:t>
      </w:r>
    </w:p>
    <w:p w:rsidR="001F3BC2" w:rsidRDefault="001F3BC2" w:rsidP="000B18B1">
      <w:pPr>
        <w:pStyle w:val="p0"/>
        <w:snapToGrid w:val="0"/>
        <w:spacing w:before="0" w:beforeAutospacing="0" w:after="0" w:afterAutospacing="0" w:line="480" w:lineRule="auto"/>
        <w:ind w:firstLine="560"/>
        <w:contextualSpacing/>
        <w:rPr>
          <w:rFonts w:asciiTheme="minorEastAsia" w:eastAsiaTheme="minorEastAsia" w:hAnsiTheme="minorEastAsia" w:cs="Times New Roman"/>
          <w:sz w:val="28"/>
          <w:szCs w:val="28"/>
        </w:rPr>
      </w:pPr>
    </w:p>
    <w:p w:rsidR="001F3BC2" w:rsidRDefault="00B96FE4">
      <w:pPr>
        <w:pStyle w:val="p0"/>
        <w:snapToGrid w:val="0"/>
        <w:spacing w:before="0" w:beforeAutospacing="0" w:after="0" w:afterAutospacing="0" w:line="560" w:lineRule="atLeast"/>
        <w:ind w:right="1009"/>
        <w:jc w:val="right"/>
        <w:rPr>
          <w:rFonts w:asciiTheme="minorEastAsia" w:eastAsiaTheme="minorEastAsia" w:hAnsiTheme="minorEastAsia" w:cs="微软雅黑CD"/>
          <w:color w:val="000000"/>
          <w:sz w:val="28"/>
          <w:szCs w:val="28"/>
        </w:rPr>
      </w:pPr>
      <w:r>
        <w:rPr>
          <w:rFonts w:asciiTheme="minorEastAsia" w:eastAsiaTheme="minorEastAsia" w:hAnsiTheme="minorEastAsia" w:cs="微软雅黑CD"/>
          <w:color w:val="000000"/>
          <w:sz w:val="28"/>
          <w:szCs w:val="28"/>
        </w:rPr>
        <w:t>信银理财有限责任公司</w:t>
      </w:r>
    </w:p>
    <w:p w:rsidR="001F3BC2" w:rsidRDefault="00B96FE4" w:rsidP="006E0E47">
      <w:pPr>
        <w:pStyle w:val="a7"/>
        <w:shd w:val="clear" w:color="auto" w:fill="FFFFFF"/>
        <w:spacing w:before="0" w:beforeAutospacing="0" w:after="0" w:afterAutospacing="0" w:line="560" w:lineRule="atLeast"/>
        <w:ind w:right="1009"/>
        <w:jc w:val="right"/>
        <w:rPr>
          <w:rFonts w:asciiTheme="minorEastAsia" w:hAnsiTheme="minorEastAsia"/>
        </w:rPr>
      </w:pPr>
      <w:r>
        <w:rPr>
          <w:rFonts w:asciiTheme="minorEastAsia" w:eastAsiaTheme="minorEastAsia" w:hAnsiTheme="minorEastAsia" w:cs="微软雅黑CD"/>
          <w:color w:val="000000"/>
          <w:sz w:val="28"/>
          <w:szCs w:val="28"/>
        </w:rPr>
        <w:t>2025年</w:t>
      </w:r>
      <w:r w:rsidR="0030194D">
        <w:rPr>
          <w:rFonts w:asciiTheme="minorEastAsia" w:eastAsiaTheme="minorEastAsia" w:hAnsiTheme="minorEastAsia" w:cs="微软雅黑CD"/>
          <w:color w:val="000000"/>
          <w:sz w:val="28"/>
          <w:szCs w:val="28"/>
        </w:rPr>
        <w:t>4</w:t>
      </w:r>
      <w:r>
        <w:rPr>
          <w:rFonts w:asciiTheme="minorEastAsia" w:eastAsiaTheme="minorEastAsia" w:hAnsiTheme="minorEastAsia" w:cs="微软雅黑CD"/>
          <w:color w:val="000000"/>
          <w:sz w:val="28"/>
          <w:szCs w:val="28"/>
        </w:rPr>
        <w:t>月</w:t>
      </w:r>
      <w:r w:rsidR="0030194D">
        <w:rPr>
          <w:rFonts w:asciiTheme="minorEastAsia" w:eastAsiaTheme="minorEastAsia" w:hAnsiTheme="minorEastAsia" w:cs="微软雅黑CD"/>
          <w:color w:val="000000"/>
          <w:sz w:val="28"/>
          <w:szCs w:val="28"/>
        </w:rPr>
        <w:t>14</w:t>
      </w:r>
      <w:r>
        <w:rPr>
          <w:rFonts w:asciiTheme="minorEastAsia" w:eastAsiaTheme="minorEastAsia" w:hAnsiTheme="minorEastAsia" w:cs="微软雅黑CD"/>
          <w:color w:val="000000"/>
          <w:sz w:val="28"/>
          <w:szCs w:val="28"/>
        </w:rPr>
        <w:t>日</w:t>
      </w:r>
    </w:p>
    <w:sectPr w:rsidR="001F3BC2">
      <w:pgSz w:w="11907" w:h="16839"/>
      <w:pgMar w:top="0" w:right="400" w:bottom="4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A1B" w:rsidRDefault="00436A1B" w:rsidP="00C754E7">
      <w:r>
        <w:separator/>
      </w:r>
    </w:p>
  </w:endnote>
  <w:endnote w:type="continuationSeparator" w:id="0">
    <w:p w:rsidR="00436A1B" w:rsidRDefault="00436A1B" w:rsidP="00C7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微软雅黑CD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A1B" w:rsidRDefault="00436A1B" w:rsidP="00C754E7">
      <w:r>
        <w:separator/>
      </w:r>
    </w:p>
  </w:footnote>
  <w:footnote w:type="continuationSeparator" w:id="0">
    <w:p w:rsidR="00436A1B" w:rsidRDefault="00436A1B" w:rsidP="00C7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94AA8"/>
    <w:multiLevelType w:val="multilevel"/>
    <w:tmpl w:val="53594AA8"/>
    <w:lvl w:ilvl="0">
      <w:start w:val="1"/>
      <w:numFmt w:val="japaneseCounting"/>
      <w:lvlText w:val="%1、"/>
      <w:lvlJc w:val="left"/>
      <w:pPr>
        <w:ind w:left="2414" w:hanging="72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2534" w:hanging="420"/>
      </w:pPr>
    </w:lvl>
    <w:lvl w:ilvl="2">
      <w:start w:val="1"/>
      <w:numFmt w:val="lowerRoman"/>
      <w:lvlText w:val="%3."/>
      <w:lvlJc w:val="right"/>
      <w:pPr>
        <w:ind w:left="2954" w:hanging="420"/>
      </w:pPr>
    </w:lvl>
    <w:lvl w:ilvl="3">
      <w:start w:val="1"/>
      <w:numFmt w:val="decimal"/>
      <w:lvlText w:val="%4."/>
      <w:lvlJc w:val="left"/>
      <w:pPr>
        <w:ind w:left="3374" w:hanging="420"/>
      </w:pPr>
    </w:lvl>
    <w:lvl w:ilvl="4">
      <w:start w:val="1"/>
      <w:numFmt w:val="lowerLetter"/>
      <w:lvlText w:val="%5)"/>
      <w:lvlJc w:val="left"/>
      <w:pPr>
        <w:ind w:left="3794" w:hanging="420"/>
      </w:pPr>
    </w:lvl>
    <w:lvl w:ilvl="5">
      <w:start w:val="1"/>
      <w:numFmt w:val="lowerRoman"/>
      <w:lvlText w:val="%6."/>
      <w:lvlJc w:val="right"/>
      <w:pPr>
        <w:ind w:left="4214" w:hanging="420"/>
      </w:pPr>
    </w:lvl>
    <w:lvl w:ilvl="6">
      <w:start w:val="1"/>
      <w:numFmt w:val="decimal"/>
      <w:lvlText w:val="%7."/>
      <w:lvlJc w:val="left"/>
      <w:pPr>
        <w:ind w:left="4634" w:hanging="420"/>
      </w:pPr>
    </w:lvl>
    <w:lvl w:ilvl="7">
      <w:start w:val="1"/>
      <w:numFmt w:val="lowerLetter"/>
      <w:lvlText w:val="%8)"/>
      <w:lvlJc w:val="left"/>
      <w:pPr>
        <w:ind w:left="5054" w:hanging="420"/>
      </w:pPr>
    </w:lvl>
    <w:lvl w:ilvl="8">
      <w:start w:val="1"/>
      <w:numFmt w:val="lowerRoman"/>
      <w:lvlText w:val="%9."/>
      <w:lvlJc w:val="right"/>
      <w:pPr>
        <w:ind w:left="54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4E"/>
    <w:rsid w:val="AEDFD63D"/>
    <w:rsid w:val="BACF53C6"/>
    <w:rsid w:val="BEF7E126"/>
    <w:rsid w:val="D1F37437"/>
    <w:rsid w:val="D73B2211"/>
    <w:rsid w:val="DDB3441C"/>
    <w:rsid w:val="DFCFA13E"/>
    <w:rsid w:val="DFDD41E2"/>
    <w:rsid w:val="ECDB607C"/>
    <w:rsid w:val="EED7066B"/>
    <w:rsid w:val="EF7B265A"/>
    <w:rsid w:val="EFE5C008"/>
    <w:rsid w:val="EFFDD948"/>
    <w:rsid w:val="F2616CE0"/>
    <w:rsid w:val="F2F7DA51"/>
    <w:rsid w:val="F77DA155"/>
    <w:rsid w:val="FAFAA44A"/>
    <w:rsid w:val="FB795327"/>
    <w:rsid w:val="FDC66680"/>
    <w:rsid w:val="FEDABB73"/>
    <w:rsid w:val="FF7E6886"/>
    <w:rsid w:val="FFBF00F1"/>
    <w:rsid w:val="00020B70"/>
    <w:rsid w:val="0003063D"/>
    <w:rsid w:val="00031708"/>
    <w:rsid w:val="00063219"/>
    <w:rsid w:val="000738DC"/>
    <w:rsid w:val="00087963"/>
    <w:rsid w:val="000B18B1"/>
    <w:rsid w:val="000B79F8"/>
    <w:rsid w:val="000C4F98"/>
    <w:rsid w:val="000D1BAC"/>
    <w:rsid w:val="000E7CB5"/>
    <w:rsid w:val="001212F8"/>
    <w:rsid w:val="00135578"/>
    <w:rsid w:val="00146856"/>
    <w:rsid w:val="001A6357"/>
    <w:rsid w:val="001C3EBD"/>
    <w:rsid w:val="001F3BC2"/>
    <w:rsid w:val="001F3CBD"/>
    <w:rsid w:val="00207341"/>
    <w:rsid w:val="0024162A"/>
    <w:rsid w:val="00260A4F"/>
    <w:rsid w:val="0027307B"/>
    <w:rsid w:val="002738D9"/>
    <w:rsid w:val="00276B12"/>
    <w:rsid w:val="00291FDD"/>
    <w:rsid w:val="002B1960"/>
    <w:rsid w:val="002D4CA0"/>
    <w:rsid w:val="002E5A1B"/>
    <w:rsid w:val="002F334C"/>
    <w:rsid w:val="0030194D"/>
    <w:rsid w:val="00310D8B"/>
    <w:rsid w:val="00313EFC"/>
    <w:rsid w:val="00341C7D"/>
    <w:rsid w:val="0036640F"/>
    <w:rsid w:val="00395A48"/>
    <w:rsid w:val="003A3DD0"/>
    <w:rsid w:val="003B14F0"/>
    <w:rsid w:val="003B50AF"/>
    <w:rsid w:val="003C15FE"/>
    <w:rsid w:val="003D039E"/>
    <w:rsid w:val="003E0A6D"/>
    <w:rsid w:val="00410050"/>
    <w:rsid w:val="00415E71"/>
    <w:rsid w:val="0041612C"/>
    <w:rsid w:val="00436A1B"/>
    <w:rsid w:val="00450B4F"/>
    <w:rsid w:val="00451BCB"/>
    <w:rsid w:val="0045769D"/>
    <w:rsid w:val="004739CA"/>
    <w:rsid w:val="004A0608"/>
    <w:rsid w:val="004A0B60"/>
    <w:rsid w:val="004A213B"/>
    <w:rsid w:val="004A621E"/>
    <w:rsid w:val="004A7EEE"/>
    <w:rsid w:val="004B17DD"/>
    <w:rsid w:val="004B1D3B"/>
    <w:rsid w:val="004E08E6"/>
    <w:rsid w:val="004E09AC"/>
    <w:rsid w:val="004E6D81"/>
    <w:rsid w:val="004F324F"/>
    <w:rsid w:val="004F6035"/>
    <w:rsid w:val="00505D7A"/>
    <w:rsid w:val="00573098"/>
    <w:rsid w:val="0059637F"/>
    <w:rsid w:val="005B64FF"/>
    <w:rsid w:val="005C0606"/>
    <w:rsid w:val="005D2732"/>
    <w:rsid w:val="005D34F2"/>
    <w:rsid w:val="005F218A"/>
    <w:rsid w:val="005F4048"/>
    <w:rsid w:val="006300BC"/>
    <w:rsid w:val="0064561A"/>
    <w:rsid w:val="00651865"/>
    <w:rsid w:val="006847BB"/>
    <w:rsid w:val="00687243"/>
    <w:rsid w:val="00696BFD"/>
    <w:rsid w:val="006A77B8"/>
    <w:rsid w:val="006C23A5"/>
    <w:rsid w:val="006D5AEA"/>
    <w:rsid w:val="006E0E47"/>
    <w:rsid w:val="006F3A47"/>
    <w:rsid w:val="00706876"/>
    <w:rsid w:val="00725F42"/>
    <w:rsid w:val="00731E43"/>
    <w:rsid w:val="00750530"/>
    <w:rsid w:val="00753DFC"/>
    <w:rsid w:val="00777925"/>
    <w:rsid w:val="007809B1"/>
    <w:rsid w:val="00785F03"/>
    <w:rsid w:val="007C42E2"/>
    <w:rsid w:val="007D0A7D"/>
    <w:rsid w:val="007E08C8"/>
    <w:rsid w:val="007E34AB"/>
    <w:rsid w:val="007F3ED3"/>
    <w:rsid w:val="0081347F"/>
    <w:rsid w:val="00816415"/>
    <w:rsid w:val="00826D08"/>
    <w:rsid w:val="0083109F"/>
    <w:rsid w:val="00834631"/>
    <w:rsid w:val="00835B51"/>
    <w:rsid w:val="0087199F"/>
    <w:rsid w:val="0088757E"/>
    <w:rsid w:val="00890BCB"/>
    <w:rsid w:val="008A2492"/>
    <w:rsid w:val="008B73C8"/>
    <w:rsid w:val="008C50C8"/>
    <w:rsid w:val="008C6577"/>
    <w:rsid w:val="008C6895"/>
    <w:rsid w:val="008E25B0"/>
    <w:rsid w:val="008E2EBA"/>
    <w:rsid w:val="00904663"/>
    <w:rsid w:val="009070AA"/>
    <w:rsid w:val="009126D9"/>
    <w:rsid w:val="00912A4C"/>
    <w:rsid w:val="00941EA7"/>
    <w:rsid w:val="009506FF"/>
    <w:rsid w:val="0095176C"/>
    <w:rsid w:val="00973119"/>
    <w:rsid w:val="009910B0"/>
    <w:rsid w:val="009B2959"/>
    <w:rsid w:val="009C188C"/>
    <w:rsid w:val="009C1EE5"/>
    <w:rsid w:val="009C2870"/>
    <w:rsid w:val="009E5449"/>
    <w:rsid w:val="009F26F4"/>
    <w:rsid w:val="009F4564"/>
    <w:rsid w:val="00A3213C"/>
    <w:rsid w:val="00A70273"/>
    <w:rsid w:val="00AA579E"/>
    <w:rsid w:val="00AE1165"/>
    <w:rsid w:val="00AE3D2D"/>
    <w:rsid w:val="00AE5748"/>
    <w:rsid w:val="00AF198C"/>
    <w:rsid w:val="00AF6782"/>
    <w:rsid w:val="00B470E4"/>
    <w:rsid w:val="00B67C7D"/>
    <w:rsid w:val="00B71AA6"/>
    <w:rsid w:val="00B96FE4"/>
    <w:rsid w:val="00BC63A2"/>
    <w:rsid w:val="00BC757B"/>
    <w:rsid w:val="00C005F9"/>
    <w:rsid w:val="00C05E75"/>
    <w:rsid w:val="00C223D5"/>
    <w:rsid w:val="00C22629"/>
    <w:rsid w:val="00C45DFF"/>
    <w:rsid w:val="00C754E7"/>
    <w:rsid w:val="00CC1477"/>
    <w:rsid w:val="00CC6E54"/>
    <w:rsid w:val="00CD35ED"/>
    <w:rsid w:val="00CF3ED9"/>
    <w:rsid w:val="00CF3F85"/>
    <w:rsid w:val="00D02A99"/>
    <w:rsid w:val="00D05147"/>
    <w:rsid w:val="00D300E9"/>
    <w:rsid w:val="00D30D60"/>
    <w:rsid w:val="00D33753"/>
    <w:rsid w:val="00D34EC4"/>
    <w:rsid w:val="00D40F84"/>
    <w:rsid w:val="00D54E1C"/>
    <w:rsid w:val="00D7235E"/>
    <w:rsid w:val="00D91ACE"/>
    <w:rsid w:val="00D95D7D"/>
    <w:rsid w:val="00DB1DBE"/>
    <w:rsid w:val="00DB79EC"/>
    <w:rsid w:val="00DE11C1"/>
    <w:rsid w:val="00DE7A76"/>
    <w:rsid w:val="00E342AD"/>
    <w:rsid w:val="00E345FA"/>
    <w:rsid w:val="00E41CB1"/>
    <w:rsid w:val="00E63C2B"/>
    <w:rsid w:val="00E850E1"/>
    <w:rsid w:val="00EA02A8"/>
    <w:rsid w:val="00EB75DF"/>
    <w:rsid w:val="00ED4384"/>
    <w:rsid w:val="00ED5D9C"/>
    <w:rsid w:val="00ED74E1"/>
    <w:rsid w:val="00EF78E6"/>
    <w:rsid w:val="00F05328"/>
    <w:rsid w:val="00F1756E"/>
    <w:rsid w:val="00F5370B"/>
    <w:rsid w:val="00F57B70"/>
    <w:rsid w:val="00F60D4E"/>
    <w:rsid w:val="00F74A2F"/>
    <w:rsid w:val="00F95E7F"/>
    <w:rsid w:val="00F97EF7"/>
    <w:rsid w:val="00FA6BB5"/>
    <w:rsid w:val="00FB3485"/>
    <w:rsid w:val="00FD584D"/>
    <w:rsid w:val="00FE3F52"/>
    <w:rsid w:val="1DFECCED"/>
    <w:rsid w:val="1F7DE9F7"/>
    <w:rsid w:val="27536FB4"/>
    <w:rsid w:val="2DBB2ADA"/>
    <w:rsid w:val="35F6D8DB"/>
    <w:rsid w:val="37FFE593"/>
    <w:rsid w:val="3E7FCD2A"/>
    <w:rsid w:val="3EBE5534"/>
    <w:rsid w:val="3FAF1A90"/>
    <w:rsid w:val="5EB74DDD"/>
    <w:rsid w:val="68E2B82F"/>
    <w:rsid w:val="71EAFF10"/>
    <w:rsid w:val="78FF70AA"/>
    <w:rsid w:val="793F0CF9"/>
    <w:rsid w:val="7DEBF1A0"/>
    <w:rsid w:val="7DFED522"/>
    <w:rsid w:val="7EF4D512"/>
    <w:rsid w:val="7FF6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42C771-E350-4BE3-9D89-496F1250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39"/>
    <w:qFormat/>
    <w:rPr>
      <w:rFonts w:asciiTheme="minorHAnsi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陈菲</dc:creator>
  <cp:lastModifiedBy>陈子贤</cp:lastModifiedBy>
  <cp:revision>36</cp:revision>
  <cp:lastPrinted>2022-09-28T06:20:00Z</cp:lastPrinted>
  <dcterms:created xsi:type="dcterms:W3CDTF">2022-07-03T03:48:00Z</dcterms:created>
  <dcterms:modified xsi:type="dcterms:W3CDTF">2025-04-11T13:22:00Z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A30F9BF4D60662BD898AD267C5657CD8_43</vt:lpwstr>
  </property>
</Properties>
</file>