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02E" w:rsidRDefault="0097031E">
      <w:pPr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嘉银红船年年盈开放式净值型理财产品</w:t>
      </w:r>
    </w:p>
    <w:p w:rsidR="0078602E" w:rsidRDefault="0097031E">
      <w:pPr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/>
          <w:b/>
          <w:sz w:val="32"/>
          <w:szCs w:val="32"/>
        </w:rPr>
        <w:t>202</w:t>
      </w:r>
      <w:r>
        <w:rPr>
          <w:rFonts w:ascii="宋体" w:hAnsi="宋体" w:hint="eastAsia"/>
          <w:b/>
          <w:sz w:val="32"/>
          <w:szCs w:val="32"/>
        </w:rPr>
        <w:t>5</w:t>
      </w:r>
      <w:r>
        <w:rPr>
          <w:rFonts w:ascii="宋体" w:hAnsi="宋体"/>
          <w:b/>
          <w:sz w:val="32"/>
          <w:szCs w:val="32"/>
        </w:rPr>
        <w:t>年第</w:t>
      </w:r>
      <w:r>
        <w:rPr>
          <w:rFonts w:ascii="宋体" w:hAnsi="宋体" w:hint="eastAsia"/>
          <w:b/>
          <w:sz w:val="32"/>
          <w:szCs w:val="32"/>
        </w:rPr>
        <w:t>1</w:t>
      </w:r>
      <w:r>
        <w:rPr>
          <w:rFonts w:ascii="宋体" w:hAnsi="宋体"/>
          <w:b/>
          <w:sz w:val="32"/>
          <w:szCs w:val="32"/>
        </w:rPr>
        <w:t>季度报告</w:t>
      </w:r>
    </w:p>
    <w:p w:rsidR="0078602E" w:rsidRDefault="0078602E">
      <w:pPr>
        <w:pStyle w:val="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:rsidR="0078602E" w:rsidRDefault="0097031E">
      <w:pPr>
        <w:pStyle w:val="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30"/>
          <w:szCs w:val="30"/>
        </w:rPr>
        <w:t>产品基本情况</w:t>
      </w:r>
    </w:p>
    <w:tbl>
      <w:tblPr>
        <w:tblW w:w="8400" w:type="dxa"/>
        <w:tblInd w:w="91" w:type="dxa"/>
        <w:tblLayout w:type="fixed"/>
        <w:tblLook w:val="04A0"/>
      </w:tblPr>
      <w:tblGrid>
        <w:gridCol w:w="4305"/>
        <w:gridCol w:w="4095"/>
      </w:tblGrid>
      <w:tr w:rsidR="0078602E">
        <w:trPr>
          <w:trHeight w:val="378"/>
        </w:trPr>
        <w:tc>
          <w:tcPr>
            <w:tcW w:w="43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02E" w:rsidRDefault="0097031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产品名称</w:t>
            </w:r>
          </w:p>
        </w:tc>
        <w:tc>
          <w:tcPr>
            <w:tcW w:w="409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8602E" w:rsidRDefault="0097031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嘉银红船年年盈开放式净值型理财产品</w:t>
            </w:r>
          </w:p>
        </w:tc>
      </w:tr>
      <w:tr w:rsidR="0078602E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02E" w:rsidRDefault="0097031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产品代码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8602E" w:rsidRDefault="0097031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NNY</w:t>
            </w:r>
          </w:p>
        </w:tc>
      </w:tr>
      <w:tr w:rsidR="0078602E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02E" w:rsidRDefault="0097031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全国银行业理财信息登记系统登记编码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8602E" w:rsidRDefault="0097031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C1092321000016</w:t>
            </w:r>
          </w:p>
        </w:tc>
      </w:tr>
      <w:tr w:rsidR="0078602E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02E" w:rsidRDefault="0097031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产品运作方式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8602E" w:rsidRDefault="0097031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开放式净值型</w:t>
            </w:r>
          </w:p>
        </w:tc>
      </w:tr>
      <w:tr w:rsidR="0078602E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02E" w:rsidRDefault="0097031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报告期末产品份额总额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8602E" w:rsidRDefault="0097031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3,345,428,890.83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份</w:t>
            </w:r>
          </w:p>
        </w:tc>
      </w:tr>
      <w:tr w:rsidR="0078602E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02E" w:rsidRDefault="0097031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产品类型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8602E" w:rsidRDefault="0097031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固定收益类</w:t>
            </w:r>
          </w:p>
        </w:tc>
      </w:tr>
      <w:tr w:rsidR="0078602E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02E" w:rsidRDefault="0097031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报告期末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业绩比较基准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8602E" w:rsidRDefault="0097031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2.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20</w:t>
            </w:r>
            <w:r>
              <w:rPr>
                <w:rFonts w:ascii="宋体" w:hAnsi="宋体"/>
                <w:color w:val="000000"/>
                <w:kern w:val="0"/>
                <w:sz w:val="22"/>
              </w:rPr>
              <w:t>%-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2.60</w:t>
            </w:r>
            <w:r>
              <w:rPr>
                <w:rFonts w:ascii="宋体" w:hAnsi="宋体"/>
                <w:color w:val="000000"/>
                <w:kern w:val="0"/>
                <w:sz w:val="22"/>
              </w:rPr>
              <w:t>%</w:t>
            </w:r>
          </w:p>
        </w:tc>
      </w:tr>
      <w:tr w:rsidR="0078602E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02E" w:rsidRDefault="0097031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管理人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8602E" w:rsidRDefault="0097031E">
            <w:pPr>
              <w:pStyle w:val="a6"/>
              <w:widowControl/>
              <w:spacing w:before="0" w:beforeAutospacing="0" w:after="0" w:afterAutospacing="0"/>
              <w:rPr>
                <w:rFonts w:ascii="宋体" w:hAnsi="宋体"/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嘉兴银行股份有限公司</w:t>
            </w:r>
          </w:p>
        </w:tc>
      </w:tr>
      <w:tr w:rsidR="0078602E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8602E" w:rsidRDefault="0097031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托管人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602E" w:rsidRDefault="0097031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兴业银行股份有限公司</w:t>
            </w:r>
          </w:p>
        </w:tc>
      </w:tr>
    </w:tbl>
    <w:p w:rsidR="0078602E" w:rsidRDefault="0078602E">
      <w:pPr>
        <w:rPr>
          <w:rFonts w:ascii="宋体" w:hAnsi="宋体"/>
          <w:sz w:val="22"/>
        </w:rPr>
      </w:pPr>
    </w:p>
    <w:p w:rsidR="0078602E" w:rsidRDefault="0078602E">
      <w:pPr>
        <w:pStyle w:val="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:rsidR="0078602E" w:rsidRDefault="0097031E">
      <w:pPr>
        <w:pStyle w:val="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30"/>
          <w:szCs w:val="30"/>
        </w:rPr>
        <w:t>产品收益</w:t>
      </w:r>
      <w:r>
        <w:rPr>
          <w:rFonts w:ascii="宋体" w:hAnsi="宋体" w:hint="eastAsia"/>
          <w:b/>
          <w:bCs/>
          <w:sz w:val="30"/>
          <w:szCs w:val="30"/>
        </w:rPr>
        <w:t>/</w:t>
      </w:r>
      <w:r>
        <w:rPr>
          <w:rFonts w:ascii="宋体" w:hAnsi="宋体" w:hint="eastAsia"/>
          <w:b/>
          <w:bCs/>
          <w:sz w:val="30"/>
          <w:szCs w:val="30"/>
        </w:rPr>
        <w:t>净值表现</w:t>
      </w:r>
    </w:p>
    <w:p w:rsidR="0078602E" w:rsidRDefault="0097031E">
      <w:pPr>
        <w:ind w:firstLine="440"/>
        <w:jc w:val="left"/>
        <w:rPr>
          <w:rFonts w:ascii="宋体" w:hAnsi="宋体"/>
          <w:sz w:val="22"/>
        </w:rPr>
      </w:pPr>
      <w:r>
        <w:rPr>
          <w:rFonts w:ascii="宋体" w:hAnsi="宋体" w:hint="eastAsia"/>
          <w:sz w:val="22"/>
        </w:rPr>
        <w:t>报告期末，产品净值表现如下：</w:t>
      </w:r>
    </w:p>
    <w:tbl>
      <w:tblPr>
        <w:tblW w:w="8506" w:type="dxa"/>
        <w:tblLayout w:type="fixed"/>
        <w:tblLook w:val="04A0"/>
      </w:tblPr>
      <w:tblGrid>
        <w:gridCol w:w="1801"/>
        <w:gridCol w:w="2145"/>
        <w:gridCol w:w="2145"/>
        <w:gridCol w:w="2415"/>
      </w:tblGrid>
      <w:tr w:rsidR="0078602E">
        <w:trPr>
          <w:trHeight w:val="509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8602E" w:rsidRDefault="0097031E">
            <w:pPr>
              <w:ind w:left="30"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报告时点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8602E" w:rsidRDefault="0097031E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产品份额净值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78602E" w:rsidRDefault="0097031E">
            <w:pPr>
              <w:ind w:left="30" w:right="30"/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份额累计净值</w:t>
            </w:r>
          </w:p>
        </w:tc>
        <w:tc>
          <w:tcPr>
            <w:tcW w:w="241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78602E" w:rsidRDefault="0097031E">
            <w:pPr>
              <w:ind w:left="30"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产品资产净值</w:t>
            </w:r>
          </w:p>
        </w:tc>
      </w:tr>
      <w:tr w:rsidR="0078602E">
        <w:trPr>
          <w:trHeight w:val="495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noWrap/>
            <w:vAlign w:val="center"/>
          </w:tcPr>
          <w:p w:rsidR="0078602E" w:rsidRDefault="0097031E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202</w:t>
            </w: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5</w:t>
            </w: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/</w:t>
            </w: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03</w:t>
            </w: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/3</w:t>
            </w: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1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noWrap/>
            <w:vAlign w:val="center"/>
          </w:tcPr>
          <w:p w:rsidR="0078602E" w:rsidRDefault="0097031E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1.204263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78602E" w:rsidRDefault="0097031E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1.204263</w:t>
            </w:r>
          </w:p>
        </w:tc>
        <w:tc>
          <w:tcPr>
            <w:tcW w:w="2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78602E" w:rsidRDefault="0097031E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4,028,777,162.37</w:t>
            </w:r>
          </w:p>
        </w:tc>
      </w:tr>
    </w:tbl>
    <w:p w:rsidR="0078602E" w:rsidRDefault="0078602E">
      <w:pPr>
        <w:ind w:firstLine="440"/>
        <w:jc w:val="center"/>
        <w:rPr>
          <w:rFonts w:ascii="宋体" w:hAnsi="宋体"/>
          <w:sz w:val="22"/>
        </w:rPr>
      </w:pPr>
    </w:p>
    <w:p w:rsidR="0078602E" w:rsidRDefault="0078602E">
      <w:pPr>
        <w:ind w:firstLine="440"/>
        <w:jc w:val="center"/>
        <w:rPr>
          <w:rFonts w:ascii="宋体" w:hAnsi="宋体"/>
          <w:sz w:val="22"/>
        </w:rPr>
      </w:pPr>
    </w:p>
    <w:p w:rsidR="0078602E" w:rsidRDefault="0097031E">
      <w:pPr>
        <w:pStyle w:val="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30"/>
          <w:szCs w:val="30"/>
        </w:rPr>
        <w:t>投资组合报告</w:t>
      </w:r>
    </w:p>
    <w:p w:rsidR="0078602E" w:rsidRDefault="0097031E">
      <w:pPr>
        <w:pStyle w:val="1"/>
        <w:ind w:firstLine="440"/>
        <w:jc w:val="left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报告期内，</w:t>
      </w:r>
      <w:r>
        <w:rPr>
          <w:rStyle w:val="a8"/>
          <w:rFonts w:hint="eastAsia"/>
          <w:color w:val="000000" w:themeColor="text1"/>
        </w:rPr>
        <w:t>本产品未进行收益分配，</w:t>
      </w:r>
      <w:r>
        <w:rPr>
          <w:rFonts w:ascii="宋体" w:hAnsi="宋体" w:hint="eastAsia"/>
          <w:sz w:val="22"/>
          <w:szCs w:val="22"/>
        </w:rPr>
        <w:t>本产品穿透前持仓以固定收益类资管计划</w:t>
      </w:r>
      <w:r>
        <w:rPr>
          <w:rFonts w:ascii="宋体" w:hAnsi="宋体" w:hint="eastAsia"/>
          <w:sz w:val="22"/>
          <w:szCs w:val="22"/>
        </w:rPr>
        <w:t>以及债券类资产为主</w:t>
      </w:r>
      <w:r>
        <w:rPr>
          <w:rFonts w:ascii="宋体" w:hAnsi="宋体" w:hint="eastAsia"/>
          <w:sz w:val="22"/>
          <w:szCs w:val="22"/>
        </w:rPr>
        <w:t>，穿透后持仓以债券类资产为主，杠杆率</w:t>
      </w:r>
      <w:r>
        <w:rPr>
          <w:rFonts w:ascii="宋体" w:hAnsi="宋体" w:hint="eastAsia"/>
          <w:sz w:val="22"/>
          <w:szCs w:val="22"/>
        </w:rPr>
        <w:t>101.7367%</w:t>
      </w:r>
      <w:r>
        <w:rPr>
          <w:rFonts w:ascii="宋体" w:hAnsi="宋体" w:hint="eastAsia"/>
          <w:sz w:val="22"/>
          <w:szCs w:val="22"/>
        </w:rPr>
        <w:t>，流动性较好，流动风险较低。</w:t>
      </w:r>
    </w:p>
    <w:p w:rsidR="0078602E" w:rsidRDefault="0097031E">
      <w:pPr>
        <w:pStyle w:val="2"/>
        <w:numPr>
          <w:ilvl w:val="0"/>
          <w:numId w:val="2"/>
        </w:numPr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ascii="宋体" w:hAnsi="宋体" w:hint="eastAsia"/>
          <w:b w:val="0"/>
          <w:bCs w:val="0"/>
          <w:sz w:val="22"/>
          <w:szCs w:val="22"/>
        </w:rPr>
        <w:t>报告期末产品资产组合情况</w:t>
      </w:r>
    </w:p>
    <w:tbl>
      <w:tblPr>
        <w:tblW w:w="8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20"/>
        <w:gridCol w:w="4125"/>
      </w:tblGrid>
      <w:tr w:rsidR="0078602E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8602E" w:rsidRDefault="0097031E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资产类型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8602E" w:rsidRDefault="0097031E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占总资产比例</w:t>
            </w:r>
          </w:p>
        </w:tc>
      </w:tr>
      <w:tr w:rsidR="0078602E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8602E" w:rsidRDefault="0097031E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固定收益类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8602E" w:rsidRDefault="0097031E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100.00%</w:t>
            </w:r>
          </w:p>
        </w:tc>
      </w:tr>
      <w:tr w:rsidR="0078602E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8602E" w:rsidRDefault="0097031E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权益类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8602E" w:rsidRDefault="0097031E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0.00%</w:t>
            </w:r>
          </w:p>
        </w:tc>
      </w:tr>
      <w:tr w:rsidR="0078602E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8602E" w:rsidRDefault="0097031E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商品及金融衍生品类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8602E" w:rsidRDefault="0097031E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0.00%</w:t>
            </w:r>
          </w:p>
        </w:tc>
      </w:tr>
      <w:tr w:rsidR="0078602E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8602E" w:rsidRDefault="0097031E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混合类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8602E" w:rsidRDefault="0097031E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0.00%</w:t>
            </w:r>
          </w:p>
        </w:tc>
      </w:tr>
      <w:tr w:rsidR="0078602E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8602E" w:rsidRDefault="0097031E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合计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8602E" w:rsidRDefault="0097031E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100.00%</w:t>
            </w:r>
          </w:p>
        </w:tc>
      </w:tr>
    </w:tbl>
    <w:p w:rsidR="0078602E" w:rsidRDefault="0078602E">
      <w:pPr>
        <w:rPr>
          <w:rFonts w:ascii="宋体" w:hAnsi="宋体"/>
          <w:b/>
          <w:bCs/>
          <w:sz w:val="22"/>
        </w:rPr>
      </w:pPr>
    </w:p>
    <w:p w:rsidR="0078602E" w:rsidRDefault="0078602E">
      <w:pPr>
        <w:rPr>
          <w:rFonts w:ascii="宋体" w:hAnsi="宋体"/>
          <w:b/>
          <w:bCs/>
          <w:sz w:val="22"/>
        </w:rPr>
      </w:pPr>
    </w:p>
    <w:p w:rsidR="0078602E" w:rsidRDefault="0097031E">
      <w:pPr>
        <w:pStyle w:val="2"/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ascii="宋体" w:hAnsi="宋体" w:hint="eastAsia"/>
          <w:b w:val="0"/>
          <w:bCs w:val="0"/>
          <w:sz w:val="22"/>
          <w:szCs w:val="22"/>
        </w:rPr>
        <w:t>2.</w:t>
      </w:r>
      <w:r>
        <w:rPr>
          <w:rFonts w:ascii="宋体" w:hAnsi="宋体" w:hint="eastAsia"/>
          <w:b w:val="0"/>
          <w:bCs w:val="0"/>
          <w:sz w:val="22"/>
          <w:szCs w:val="22"/>
        </w:rPr>
        <w:t>报告期末</w:t>
      </w:r>
      <w:r>
        <w:rPr>
          <w:rFonts w:ascii="宋体" w:hAnsi="宋体" w:hint="eastAsia"/>
          <w:b w:val="0"/>
          <w:bCs w:val="0"/>
          <w:sz w:val="22"/>
          <w:szCs w:val="22"/>
        </w:rPr>
        <w:t>穿透前</w:t>
      </w:r>
      <w:r>
        <w:rPr>
          <w:rFonts w:ascii="宋体" w:hAnsi="宋体" w:hint="eastAsia"/>
          <w:b w:val="0"/>
          <w:bCs w:val="0"/>
          <w:sz w:val="22"/>
          <w:szCs w:val="22"/>
        </w:rPr>
        <w:t>资产持仓前十基本信息</w:t>
      </w:r>
      <w:r>
        <w:rPr>
          <w:rFonts w:ascii="宋体" w:hAnsi="宋体" w:hint="eastAsia"/>
          <w:b w:val="0"/>
          <w:bCs w:val="0"/>
          <w:sz w:val="22"/>
          <w:szCs w:val="22"/>
        </w:rPr>
        <w:t>（不含现金及买入返售）</w:t>
      </w:r>
    </w:p>
    <w:tbl>
      <w:tblPr>
        <w:tblW w:w="8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5"/>
        <w:gridCol w:w="1350"/>
        <w:gridCol w:w="3222"/>
        <w:gridCol w:w="2114"/>
        <w:gridCol w:w="1189"/>
      </w:tblGrid>
      <w:tr w:rsidR="0078602E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8602E" w:rsidRDefault="0097031E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序号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8602E" w:rsidRDefault="0097031E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资产种类</w:t>
            </w:r>
          </w:p>
        </w:tc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8602E" w:rsidRDefault="0097031E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资产名称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8602E" w:rsidRDefault="0097031E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资产规模</w:t>
            </w:r>
            <w:r>
              <w:rPr>
                <w:rFonts w:ascii="宋体" w:hAnsi="宋体" w:cs="宋体"/>
                <w:b/>
                <w:color w:val="000000"/>
                <w:sz w:val="22"/>
              </w:rPr>
              <w:t>(</w:t>
            </w:r>
            <w:r>
              <w:rPr>
                <w:rFonts w:ascii="宋体" w:hAnsi="宋体" w:cs="宋体"/>
                <w:b/>
                <w:color w:val="000000"/>
                <w:sz w:val="22"/>
              </w:rPr>
              <w:t>元</w:t>
            </w:r>
            <w:r>
              <w:rPr>
                <w:rFonts w:ascii="宋体" w:hAnsi="宋体" w:cs="宋体"/>
                <w:b/>
                <w:color w:val="000000"/>
                <w:sz w:val="22"/>
              </w:rPr>
              <w:t>)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8602E" w:rsidRDefault="0097031E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资产比例</w:t>
            </w:r>
          </w:p>
        </w:tc>
      </w:tr>
      <w:tr w:rsidR="0078602E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8602E" w:rsidRDefault="0097031E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1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8602E" w:rsidRDefault="0097031E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资管计划</w:t>
            </w:r>
          </w:p>
        </w:tc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8602E" w:rsidRDefault="0097031E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创金合信恒利</w:t>
            </w:r>
            <w:r>
              <w:rPr>
                <w:rFonts w:ascii="宋体" w:hAnsi="宋体" w:cs="宋体" w:hint="eastAsia"/>
                <w:color w:val="000000"/>
                <w:sz w:val="22"/>
              </w:rPr>
              <w:t>56</w:t>
            </w:r>
            <w:r>
              <w:rPr>
                <w:rFonts w:ascii="宋体" w:hAnsi="宋体" w:cs="宋体" w:hint="eastAsia"/>
                <w:color w:val="000000"/>
                <w:sz w:val="22"/>
              </w:rPr>
              <w:t>号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8602E" w:rsidRDefault="0097031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566,652,261.09 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78602E" w:rsidRDefault="0097031E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lang/>
              </w:rPr>
              <w:t>13.83%</w:t>
            </w:r>
          </w:p>
        </w:tc>
      </w:tr>
      <w:tr w:rsidR="0078602E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8602E" w:rsidRDefault="0097031E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2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8602E" w:rsidRDefault="0097031E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信托计划</w:t>
            </w:r>
          </w:p>
        </w:tc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8602E" w:rsidRDefault="0097031E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民生通惠周周盈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8602E" w:rsidRDefault="0097031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224,600,522.00 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78602E" w:rsidRDefault="0097031E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lang/>
              </w:rPr>
              <w:t>5.48%</w:t>
            </w:r>
          </w:p>
        </w:tc>
      </w:tr>
      <w:tr w:rsidR="0078602E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8602E" w:rsidRDefault="0097031E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3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8602E" w:rsidRDefault="0097031E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金融债</w:t>
            </w:r>
          </w:p>
        </w:tc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78602E" w:rsidRDefault="0097031E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21</w:t>
            </w:r>
            <w:r>
              <w:rPr>
                <w:rFonts w:ascii="宋体" w:hAnsi="宋体" w:cs="宋体"/>
                <w:color w:val="000000"/>
                <w:sz w:val="22"/>
              </w:rPr>
              <w:t>鄞州农商永续债</w:t>
            </w:r>
            <w:r>
              <w:rPr>
                <w:rFonts w:ascii="宋体" w:hAnsi="宋体" w:cs="宋体"/>
                <w:color w:val="000000"/>
                <w:sz w:val="22"/>
              </w:rPr>
              <w:t>01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78602E" w:rsidRDefault="0097031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lang/>
              </w:rPr>
              <w:t xml:space="preserve">185,320,684.93 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78602E" w:rsidRDefault="0097031E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lang/>
              </w:rPr>
              <w:t>4.52%</w:t>
            </w:r>
          </w:p>
        </w:tc>
      </w:tr>
      <w:tr w:rsidR="0078602E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8602E" w:rsidRDefault="0097031E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4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8602E" w:rsidRDefault="0097031E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中期票据</w:t>
            </w:r>
          </w:p>
        </w:tc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78602E" w:rsidRDefault="0097031E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23</w:t>
            </w:r>
            <w:r>
              <w:rPr>
                <w:rFonts w:ascii="宋体" w:hAnsi="宋体" w:cs="宋体"/>
                <w:color w:val="000000"/>
                <w:sz w:val="22"/>
              </w:rPr>
              <w:t>安吉城运</w:t>
            </w:r>
            <w:r>
              <w:rPr>
                <w:rFonts w:ascii="宋体" w:hAnsi="宋体" w:cs="宋体"/>
                <w:color w:val="000000"/>
                <w:sz w:val="22"/>
              </w:rPr>
              <w:t>MTN001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78602E" w:rsidRDefault="0097031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lang/>
              </w:rPr>
              <w:t xml:space="preserve">115,366,041.10 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78602E" w:rsidRDefault="0097031E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lang/>
              </w:rPr>
              <w:t>2.81%</w:t>
            </w:r>
          </w:p>
        </w:tc>
      </w:tr>
      <w:tr w:rsidR="0078602E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8602E" w:rsidRDefault="0097031E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5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8602E" w:rsidRDefault="0097031E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金融债</w:t>
            </w:r>
          </w:p>
        </w:tc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78602E" w:rsidRDefault="0097031E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21</w:t>
            </w:r>
            <w:r>
              <w:rPr>
                <w:rFonts w:ascii="宋体" w:hAnsi="宋体" w:cs="宋体"/>
                <w:color w:val="000000"/>
                <w:sz w:val="22"/>
              </w:rPr>
              <w:t>上饶银行永续债</w:t>
            </w:r>
            <w:r>
              <w:rPr>
                <w:rFonts w:ascii="宋体" w:hAnsi="宋体" w:cs="宋体"/>
                <w:color w:val="000000"/>
                <w:sz w:val="22"/>
              </w:rPr>
              <w:t>01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78602E" w:rsidRDefault="0097031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lang/>
              </w:rPr>
              <w:t xml:space="preserve">106,019,589.04 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78602E" w:rsidRDefault="0097031E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lang/>
              </w:rPr>
              <w:t>2.59%</w:t>
            </w:r>
          </w:p>
        </w:tc>
      </w:tr>
      <w:tr w:rsidR="0078602E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8602E" w:rsidRDefault="0097031E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6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8602E" w:rsidRDefault="0097031E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中期票据</w:t>
            </w:r>
          </w:p>
        </w:tc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78602E" w:rsidRDefault="0097031E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23</w:t>
            </w:r>
            <w:r>
              <w:rPr>
                <w:rFonts w:ascii="宋体" w:hAnsi="宋体" w:cs="宋体"/>
                <w:color w:val="000000"/>
                <w:sz w:val="22"/>
              </w:rPr>
              <w:t>厦国贸控</w:t>
            </w:r>
            <w:r>
              <w:rPr>
                <w:rFonts w:ascii="宋体" w:hAnsi="宋体" w:cs="宋体"/>
                <w:color w:val="000000"/>
                <w:sz w:val="22"/>
              </w:rPr>
              <w:t>MTN001(</w:t>
            </w:r>
            <w:r>
              <w:rPr>
                <w:rFonts w:ascii="宋体" w:hAnsi="宋体" w:cs="宋体"/>
                <w:color w:val="000000"/>
                <w:sz w:val="22"/>
              </w:rPr>
              <w:t>科创票据</w:t>
            </w:r>
            <w:r>
              <w:rPr>
                <w:rFonts w:ascii="宋体" w:hAnsi="宋体" w:cs="宋体"/>
                <w:color w:val="000000"/>
                <w:sz w:val="22"/>
              </w:rPr>
              <w:t>)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78602E" w:rsidRDefault="0097031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lang/>
              </w:rPr>
              <w:t xml:space="preserve">104,257,260.27 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78602E" w:rsidRDefault="0097031E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lang/>
              </w:rPr>
              <w:t>2.54%</w:t>
            </w:r>
          </w:p>
        </w:tc>
      </w:tr>
      <w:tr w:rsidR="0078602E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8602E" w:rsidRDefault="0097031E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7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8602E" w:rsidRDefault="0097031E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定向工具</w:t>
            </w:r>
          </w:p>
        </w:tc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78602E" w:rsidRDefault="0097031E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24</w:t>
            </w:r>
            <w:r>
              <w:rPr>
                <w:rFonts w:ascii="宋体" w:hAnsi="宋体" w:cs="宋体"/>
                <w:color w:val="000000"/>
                <w:sz w:val="22"/>
              </w:rPr>
              <w:t>南浔交通</w:t>
            </w:r>
            <w:r>
              <w:rPr>
                <w:rFonts w:ascii="宋体" w:hAnsi="宋体" w:cs="宋体"/>
                <w:color w:val="000000"/>
                <w:sz w:val="22"/>
              </w:rPr>
              <w:t>PPN002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78602E" w:rsidRDefault="0097031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lang/>
              </w:rPr>
              <w:t xml:space="preserve">102,870,027.40 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78602E" w:rsidRDefault="0097031E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lang/>
              </w:rPr>
              <w:t>2.51%</w:t>
            </w:r>
          </w:p>
        </w:tc>
      </w:tr>
      <w:tr w:rsidR="0078602E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8602E" w:rsidRDefault="0097031E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8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8602E" w:rsidRDefault="0097031E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中期票据</w:t>
            </w:r>
          </w:p>
        </w:tc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78602E" w:rsidRDefault="0097031E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24</w:t>
            </w:r>
            <w:r>
              <w:rPr>
                <w:rFonts w:ascii="宋体" w:hAnsi="宋体" w:cs="宋体"/>
                <w:color w:val="000000"/>
                <w:sz w:val="22"/>
              </w:rPr>
              <w:t>余姚高铁</w:t>
            </w:r>
            <w:r>
              <w:rPr>
                <w:rFonts w:ascii="宋体" w:hAnsi="宋体" w:cs="宋体"/>
                <w:color w:val="000000"/>
                <w:sz w:val="22"/>
              </w:rPr>
              <w:t>MTN001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78602E" w:rsidRDefault="0097031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lang/>
              </w:rPr>
              <w:t xml:space="preserve">101,962,301.37 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78602E" w:rsidRDefault="0097031E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lang/>
              </w:rPr>
              <w:t>2.49%</w:t>
            </w:r>
          </w:p>
        </w:tc>
      </w:tr>
      <w:tr w:rsidR="0078602E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8602E" w:rsidRDefault="0097031E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9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8602E" w:rsidRDefault="0097031E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定向工具</w:t>
            </w:r>
          </w:p>
        </w:tc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78602E" w:rsidRDefault="0097031E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24</w:t>
            </w:r>
            <w:r>
              <w:rPr>
                <w:rFonts w:ascii="宋体" w:hAnsi="宋体" w:cs="宋体"/>
                <w:color w:val="000000"/>
                <w:sz w:val="22"/>
              </w:rPr>
              <w:t>武汉开投</w:t>
            </w:r>
            <w:r>
              <w:rPr>
                <w:rFonts w:ascii="宋体" w:hAnsi="宋体" w:cs="宋体"/>
                <w:color w:val="000000"/>
                <w:sz w:val="22"/>
              </w:rPr>
              <w:t>PPN002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78602E" w:rsidRDefault="0097031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lang/>
              </w:rPr>
              <w:t xml:space="preserve">101,627,917.81 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78602E" w:rsidRDefault="0097031E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lang/>
              </w:rPr>
              <w:t>2.48%</w:t>
            </w:r>
          </w:p>
        </w:tc>
      </w:tr>
      <w:tr w:rsidR="0078602E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8602E" w:rsidRDefault="0097031E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10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8602E" w:rsidRDefault="0097031E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中期票据</w:t>
            </w:r>
          </w:p>
        </w:tc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78602E" w:rsidRDefault="0097031E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24</w:t>
            </w:r>
            <w:r>
              <w:rPr>
                <w:rFonts w:ascii="宋体" w:hAnsi="宋体" w:cs="宋体"/>
                <w:color w:val="000000"/>
                <w:sz w:val="22"/>
              </w:rPr>
              <w:t>宁波舜农</w:t>
            </w:r>
            <w:r>
              <w:rPr>
                <w:rFonts w:ascii="宋体" w:hAnsi="宋体" w:cs="宋体"/>
                <w:color w:val="000000"/>
                <w:sz w:val="22"/>
              </w:rPr>
              <w:t>MTN002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78602E" w:rsidRDefault="0097031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lang/>
              </w:rPr>
              <w:t xml:space="preserve">100,978,520.55 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78602E" w:rsidRDefault="0097031E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lang/>
              </w:rPr>
              <w:t>2.46%</w:t>
            </w:r>
          </w:p>
        </w:tc>
      </w:tr>
    </w:tbl>
    <w:p w:rsidR="0078602E" w:rsidRDefault="0097031E">
      <w:pPr>
        <w:pStyle w:val="2"/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ascii="宋体" w:hAnsi="宋体" w:hint="eastAsia"/>
          <w:b w:val="0"/>
          <w:bCs w:val="0"/>
          <w:sz w:val="22"/>
          <w:szCs w:val="22"/>
        </w:rPr>
        <w:t>3</w:t>
      </w:r>
      <w:r>
        <w:rPr>
          <w:rFonts w:ascii="宋体" w:hAnsi="宋体" w:hint="eastAsia"/>
          <w:b w:val="0"/>
          <w:bCs w:val="0"/>
          <w:sz w:val="22"/>
          <w:szCs w:val="22"/>
        </w:rPr>
        <w:t>.</w:t>
      </w:r>
      <w:r>
        <w:rPr>
          <w:rFonts w:ascii="宋体" w:hAnsi="宋体" w:hint="eastAsia"/>
          <w:b w:val="0"/>
          <w:bCs w:val="0"/>
          <w:sz w:val="22"/>
          <w:szCs w:val="22"/>
        </w:rPr>
        <w:t>报告期末</w:t>
      </w:r>
      <w:r>
        <w:rPr>
          <w:rFonts w:ascii="宋体" w:hAnsi="宋体" w:hint="eastAsia"/>
          <w:b w:val="0"/>
          <w:bCs w:val="0"/>
          <w:sz w:val="22"/>
          <w:szCs w:val="22"/>
        </w:rPr>
        <w:t>穿透后</w:t>
      </w:r>
      <w:r>
        <w:rPr>
          <w:rFonts w:ascii="宋体" w:hAnsi="宋体" w:hint="eastAsia"/>
          <w:b w:val="0"/>
          <w:bCs w:val="0"/>
          <w:sz w:val="22"/>
          <w:szCs w:val="22"/>
        </w:rPr>
        <w:t>资产持仓前十基本信息</w:t>
      </w:r>
      <w:r>
        <w:rPr>
          <w:rFonts w:ascii="宋体" w:hAnsi="宋体" w:hint="eastAsia"/>
          <w:b w:val="0"/>
          <w:bCs w:val="0"/>
          <w:sz w:val="22"/>
          <w:szCs w:val="22"/>
        </w:rPr>
        <w:t>（不含现金及买入返售）</w:t>
      </w:r>
    </w:p>
    <w:tbl>
      <w:tblPr>
        <w:tblW w:w="8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0"/>
        <w:gridCol w:w="1335"/>
        <w:gridCol w:w="3263"/>
        <w:gridCol w:w="2128"/>
        <w:gridCol w:w="1164"/>
      </w:tblGrid>
      <w:tr w:rsidR="0078602E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8602E" w:rsidRDefault="0097031E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序号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8602E" w:rsidRDefault="0097031E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资产种类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8602E" w:rsidRDefault="0097031E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资产名称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8602E" w:rsidRDefault="0097031E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资产规模</w:t>
            </w:r>
            <w:r>
              <w:rPr>
                <w:rFonts w:ascii="宋体" w:hAnsi="宋体" w:cs="宋体"/>
                <w:b/>
                <w:color w:val="000000"/>
                <w:sz w:val="22"/>
              </w:rPr>
              <w:t>(</w:t>
            </w:r>
            <w:r>
              <w:rPr>
                <w:rFonts w:ascii="宋体" w:hAnsi="宋体" w:cs="宋体"/>
                <w:b/>
                <w:color w:val="000000"/>
                <w:sz w:val="22"/>
              </w:rPr>
              <w:t>元</w:t>
            </w:r>
            <w:r>
              <w:rPr>
                <w:rFonts w:ascii="宋体" w:hAnsi="宋体" w:cs="宋体"/>
                <w:b/>
                <w:color w:val="000000"/>
                <w:sz w:val="22"/>
              </w:rPr>
              <w:t>)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8602E" w:rsidRDefault="0097031E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资产比例</w:t>
            </w:r>
          </w:p>
        </w:tc>
      </w:tr>
      <w:tr w:rsidR="0078602E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8602E" w:rsidRDefault="0097031E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1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8602E" w:rsidRDefault="0097031E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金融债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8602E" w:rsidRDefault="0097031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鄞州农商永续债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01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8602E" w:rsidRDefault="0097031E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185,320,684.93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78602E" w:rsidRDefault="0097031E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4.49%</w:t>
            </w:r>
          </w:p>
        </w:tc>
      </w:tr>
      <w:tr w:rsidR="0078602E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8602E" w:rsidRDefault="0097031E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2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8602E" w:rsidRDefault="0097031E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中期票据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8602E" w:rsidRDefault="0097031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23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安吉城运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MTN001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8602E" w:rsidRDefault="0097031E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115,366,041.10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78602E" w:rsidRDefault="0097031E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2.80%</w:t>
            </w:r>
          </w:p>
        </w:tc>
      </w:tr>
      <w:tr w:rsidR="0078602E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8602E" w:rsidRDefault="0097031E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3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8602E" w:rsidRDefault="0097031E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金融债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8602E" w:rsidRDefault="0097031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上饶银行永续债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01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8602E" w:rsidRDefault="0097031E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106,019,589.04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78602E" w:rsidRDefault="0097031E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2.57%</w:t>
            </w:r>
          </w:p>
        </w:tc>
      </w:tr>
      <w:tr w:rsidR="0078602E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8602E" w:rsidRDefault="0097031E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4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8602E" w:rsidRDefault="0097031E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中期票据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8602E" w:rsidRDefault="0097031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23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厦国贸控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MTN001(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科创票据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)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8602E" w:rsidRDefault="0097031E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104,257,260.27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78602E" w:rsidRDefault="0097031E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2.53%</w:t>
            </w:r>
          </w:p>
        </w:tc>
      </w:tr>
      <w:tr w:rsidR="0078602E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8602E" w:rsidRDefault="0097031E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5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8602E" w:rsidRDefault="0097031E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定向工具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8602E" w:rsidRDefault="0097031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24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南浔交通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PPN002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8602E" w:rsidRDefault="0097031E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102,870,027.40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78602E" w:rsidRDefault="0097031E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2.49%</w:t>
            </w:r>
          </w:p>
        </w:tc>
      </w:tr>
      <w:tr w:rsidR="0078602E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8602E" w:rsidRDefault="0097031E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6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8602E" w:rsidRDefault="0097031E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中期票据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8602E" w:rsidRDefault="0097031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24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余姚高铁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MTN001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8602E" w:rsidRDefault="0097031E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101,962,301.37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78602E" w:rsidRDefault="0097031E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2.47%</w:t>
            </w:r>
          </w:p>
        </w:tc>
      </w:tr>
      <w:tr w:rsidR="0078602E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8602E" w:rsidRDefault="0097031E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7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8602E" w:rsidRDefault="0097031E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定向工具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8602E" w:rsidRDefault="0097031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24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武汉开投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PPN002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8602E" w:rsidRDefault="0097031E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101,627,917.81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78602E" w:rsidRDefault="0097031E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2.46%</w:t>
            </w:r>
          </w:p>
        </w:tc>
      </w:tr>
      <w:tr w:rsidR="0078602E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8602E" w:rsidRDefault="0097031E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8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8602E" w:rsidRDefault="0097031E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中期票据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8602E" w:rsidRDefault="0097031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24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宁波舜农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MTN002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8602E" w:rsidRDefault="0097031E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100,978,520.55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78602E" w:rsidRDefault="0097031E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2.45%</w:t>
            </w:r>
          </w:p>
        </w:tc>
      </w:tr>
      <w:tr w:rsidR="0078602E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8602E" w:rsidRDefault="0097031E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9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8602E" w:rsidRDefault="0097031E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基金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8602E" w:rsidRDefault="0097031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广发中债农发债总指数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A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8602E" w:rsidRDefault="0097031E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90,855,891.18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78602E" w:rsidRDefault="0097031E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2.20%</w:t>
            </w:r>
          </w:p>
        </w:tc>
      </w:tr>
      <w:tr w:rsidR="0078602E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8602E" w:rsidRDefault="0097031E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10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8602E" w:rsidRDefault="0097031E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同业存单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8602E" w:rsidRDefault="0097031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24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农业银行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CD192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78602E" w:rsidRDefault="0097031E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88,606,260.24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78602E" w:rsidRDefault="0097031E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2.15%</w:t>
            </w:r>
          </w:p>
        </w:tc>
      </w:tr>
    </w:tbl>
    <w:p w:rsidR="0078602E" w:rsidRDefault="0078602E"/>
    <w:p w:rsidR="0078602E" w:rsidRDefault="0078602E"/>
    <w:p w:rsidR="0078602E" w:rsidRDefault="0097031E">
      <w:pPr>
        <w:pStyle w:val="1"/>
        <w:numPr>
          <w:ilvl w:val="0"/>
          <w:numId w:val="1"/>
        </w:numPr>
        <w:jc w:val="left"/>
        <w:rPr>
          <w:rFonts w:ascii="宋体" w:hAnsi="宋体"/>
          <w:b/>
          <w:bCs/>
          <w:sz w:val="30"/>
          <w:szCs w:val="30"/>
        </w:rPr>
      </w:pPr>
      <w:r>
        <w:rPr>
          <w:rFonts w:ascii="宋体" w:hAnsi="宋体" w:hint="eastAsia"/>
          <w:b/>
          <w:bCs/>
          <w:sz w:val="30"/>
          <w:szCs w:val="30"/>
        </w:rPr>
        <w:t>投资账户信息</w:t>
      </w:r>
    </w:p>
    <w:tbl>
      <w:tblPr>
        <w:tblW w:w="8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59"/>
        <w:gridCol w:w="4107"/>
      </w:tblGrid>
      <w:tr w:rsidR="0078602E">
        <w:tc>
          <w:tcPr>
            <w:tcW w:w="2602" w:type="pct"/>
          </w:tcPr>
          <w:p w:rsidR="0078602E" w:rsidRDefault="0097031E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交易场所</w:t>
            </w:r>
          </w:p>
        </w:tc>
        <w:tc>
          <w:tcPr>
            <w:tcW w:w="2397" w:type="pct"/>
          </w:tcPr>
          <w:p w:rsidR="0078602E" w:rsidRDefault="0097031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账号</w:t>
            </w:r>
          </w:p>
        </w:tc>
      </w:tr>
      <w:tr w:rsidR="0078602E">
        <w:tc>
          <w:tcPr>
            <w:tcW w:w="2602" w:type="pct"/>
          </w:tcPr>
          <w:p w:rsidR="0078602E" w:rsidRDefault="0097031E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银行间市场清算所账号</w:t>
            </w:r>
          </w:p>
        </w:tc>
        <w:tc>
          <w:tcPr>
            <w:tcW w:w="2397" w:type="pct"/>
          </w:tcPr>
          <w:p w:rsidR="0078602E" w:rsidRDefault="0097031E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B2410787</w:t>
            </w:r>
          </w:p>
        </w:tc>
      </w:tr>
      <w:tr w:rsidR="0078602E">
        <w:tc>
          <w:tcPr>
            <w:tcW w:w="2602" w:type="pct"/>
          </w:tcPr>
          <w:p w:rsidR="0078602E" w:rsidRDefault="0097031E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中央结算公司账号</w:t>
            </w:r>
          </w:p>
        </w:tc>
        <w:tc>
          <w:tcPr>
            <w:tcW w:w="2397" w:type="pct"/>
          </w:tcPr>
          <w:p w:rsidR="0078602E" w:rsidRDefault="0097031E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00000054204</w:t>
            </w:r>
          </w:p>
        </w:tc>
      </w:tr>
      <w:tr w:rsidR="0078602E">
        <w:tc>
          <w:tcPr>
            <w:tcW w:w="2602" w:type="pct"/>
          </w:tcPr>
          <w:p w:rsidR="0078602E" w:rsidRDefault="0097031E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上海证券交易所账号</w:t>
            </w:r>
          </w:p>
        </w:tc>
        <w:tc>
          <w:tcPr>
            <w:tcW w:w="2397" w:type="pct"/>
          </w:tcPr>
          <w:p w:rsidR="0078602E" w:rsidRDefault="0097031E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B884187057</w:t>
            </w:r>
          </w:p>
        </w:tc>
      </w:tr>
      <w:tr w:rsidR="0078602E">
        <w:tc>
          <w:tcPr>
            <w:tcW w:w="2602" w:type="pct"/>
          </w:tcPr>
          <w:p w:rsidR="0078602E" w:rsidRDefault="0097031E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深圳证券交易所账号</w:t>
            </w:r>
          </w:p>
        </w:tc>
        <w:tc>
          <w:tcPr>
            <w:tcW w:w="2397" w:type="pct"/>
          </w:tcPr>
          <w:p w:rsidR="0078602E" w:rsidRDefault="0097031E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0899286094</w:t>
            </w:r>
          </w:p>
        </w:tc>
      </w:tr>
    </w:tbl>
    <w:p w:rsidR="0078602E" w:rsidRDefault="0097031E">
      <w:pPr>
        <w:jc w:val="center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18"/>
          <w:szCs w:val="18"/>
        </w:rPr>
        <w:t>注：理财产品托管人</w:t>
      </w:r>
      <w:r>
        <w:rPr>
          <w:rFonts w:ascii="宋体" w:hAnsi="宋体" w:hint="eastAsia"/>
          <w:sz w:val="18"/>
          <w:szCs w:val="18"/>
        </w:rPr>
        <w:t>兴业</w:t>
      </w:r>
      <w:r>
        <w:rPr>
          <w:rFonts w:ascii="宋体" w:hAnsi="宋体" w:hint="eastAsia"/>
          <w:sz w:val="18"/>
          <w:szCs w:val="18"/>
        </w:rPr>
        <w:t>银行股份有限公司根据托管协议规定，复核了本报告中的财务指标、净值表现和资产组合报告等内容，保证复核内容不存在虚假记载、误导性陈述。</w:t>
      </w:r>
    </w:p>
    <w:p w:rsidR="0078602E" w:rsidRDefault="0078602E">
      <w:pPr>
        <w:jc w:val="center"/>
        <w:rPr>
          <w:rFonts w:ascii="宋体" w:hAnsi="宋体"/>
          <w:sz w:val="22"/>
        </w:rPr>
      </w:pPr>
    </w:p>
    <w:p w:rsidR="0078602E" w:rsidRDefault="0097031E" w:rsidP="001538C7">
      <w:pPr>
        <w:jc w:val="right"/>
        <w:rPr>
          <w:rFonts w:ascii="宋体" w:hAnsi="宋体"/>
          <w:sz w:val="22"/>
        </w:rPr>
      </w:pPr>
      <w:r>
        <w:rPr>
          <w:rFonts w:ascii="宋体" w:hAnsi="宋体" w:hint="eastAsia"/>
          <w:sz w:val="22"/>
        </w:rPr>
        <w:t xml:space="preserve">  </w:t>
      </w:r>
      <w:r>
        <w:rPr>
          <w:rFonts w:ascii="宋体" w:hAnsi="宋体" w:hint="eastAsia"/>
          <w:sz w:val="22"/>
        </w:rPr>
        <w:t>嘉兴银行股份有限公司</w:t>
      </w:r>
      <w:bookmarkStart w:id="0" w:name="_GoBack"/>
      <w:bookmarkEnd w:id="0"/>
    </w:p>
    <w:p w:rsidR="0078602E" w:rsidRDefault="0097031E" w:rsidP="001538C7">
      <w:pPr>
        <w:jc w:val="right"/>
        <w:rPr>
          <w:b/>
        </w:rPr>
      </w:pPr>
      <w:r>
        <w:rPr>
          <w:rFonts w:ascii="宋体" w:hAnsi="宋体"/>
          <w:sz w:val="22"/>
        </w:rPr>
        <w:t>202</w:t>
      </w:r>
      <w:r>
        <w:rPr>
          <w:rFonts w:ascii="宋体" w:hAnsi="宋体" w:hint="eastAsia"/>
          <w:sz w:val="22"/>
        </w:rPr>
        <w:t>5</w:t>
      </w:r>
      <w:r>
        <w:rPr>
          <w:rFonts w:ascii="宋体" w:hAnsi="宋体"/>
          <w:sz w:val="22"/>
        </w:rPr>
        <w:t>年</w:t>
      </w:r>
      <w:r>
        <w:rPr>
          <w:rFonts w:ascii="宋体" w:hAnsi="宋体" w:hint="eastAsia"/>
          <w:sz w:val="22"/>
        </w:rPr>
        <w:t>04</w:t>
      </w:r>
      <w:r>
        <w:rPr>
          <w:rFonts w:ascii="宋体" w:hAnsi="宋体"/>
          <w:sz w:val="22"/>
        </w:rPr>
        <w:t>月</w:t>
      </w:r>
      <w:r>
        <w:rPr>
          <w:rFonts w:ascii="宋体" w:hAnsi="宋体" w:hint="eastAsia"/>
          <w:sz w:val="22"/>
        </w:rPr>
        <w:t>0</w:t>
      </w:r>
      <w:r w:rsidR="001538C7">
        <w:rPr>
          <w:rFonts w:ascii="宋体" w:hAnsi="宋体" w:hint="eastAsia"/>
          <w:sz w:val="22"/>
        </w:rPr>
        <w:t>8</w:t>
      </w:r>
      <w:r>
        <w:rPr>
          <w:rFonts w:ascii="宋体" w:hAnsi="宋体"/>
          <w:sz w:val="22"/>
        </w:rPr>
        <w:t>日</w:t>
      </w:r>
    </w:p>
    <w:sectPr w:rsidR="0078602E" w:rsidSect="0078602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031E" w:rsidRDefault="0097031E" w:rsidP="001538C7">
      <w:r>
        <w:separator/>
      </w:r>
    </w:p>
  </w:endnote>
  <w:endnote w:type="continuationSeparator" w:id="1">
    <w:p w:rsidR="0097031E" w:rsidRDefault="0097031E" w:rsidP="001538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031E" w:rsidRDefault="0097031E" w:rsidP="001538C7">
      <w:r>
        <w:separator/>
      </w:r>
    </w:p>
  </w:footnote>
  <w:footnote w:type="continuationSeparator" w:id="1">
    <w:p w:rsidR="0097031E" w:rsidRDefault="0097031E" w:rsidP="001538C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6B2465"/>
    <w:multiLevelType w:val="multilevel"/>
    <w:tmpl w:val="596B2465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  <w:sz w:val="3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41B07D7"/>
    <w:multiLevelType w:val="multilevel"/>
    <w:tmpl w:val="741B07D7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rawingGridVerticalSpacing w:val="156"/>
  <w:noPunctuationKerning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doNotLeaveBackslashAlone/>
    <w:ulTrailSpace/>
    <w:doNotExpandShiftReturn/>
    <w:doNotWrapTextWithPunct/>
    <w:doNotUseEastAsianBreakRules/>
    <w:useFELayout/>
    <w:doNotUseIndentAsNumberingTabStop/>
    <w:useAltKinsokuLineBreakRules/>
  </w:compat>
  <w:docVars>
    <w:docVar w:name="commondata" w:val="eyJoZGlkIjoiZDBlYTZlOGZlNjgwZTkwOTUzNTM1MTFkZTdkYWMwNGMifQ=="/>
  </w:docVars>
  <w:rsids>
    <w:rsidRoot w:val="0078602E"/>
    <w:rsid w:val="001538C7"/>
    <w:rsid w:val="0078602E"/>
    <w:rsid w:val="0097031E"/>
    <w:rsid w:val="01172A03"/>
    <w:rsid w:val="076E4ACF"/>
    <w:rsid w:val="09D3436D"/>
    <w:rsid w:val="0C926D4D"/>
    <w:rsid w:val="125F245C"/>
    <w:rsid w:val="13701A71"/>
    <w:rsid w:val="13BB7B66"/>
    <w:rsid w:val="14F97CF6"/>
    <w:rsid w:val="23BE3D6C"/>
    <w:rsid w:val="25C71AD2"/>
    <w:rsid w:val="3005732A"/>
    <w:rsid w:val="34995A11"/>
    <w:rsid w:val="378B412B"/>
    <w:rsid w:val="3A287E8D"/>
    <w:rsid w:val="3A96260F"/>
    <w:rsid w:val="3CCD6091"/>
    <w:rsid w:val="41526264"/>
    <w:rsid w:val="43244531"/>
    <w:rsid w:val="48995029"/>
    <w:rsid w:val="4BC13C6E"/>
    <w:rsid w:val="4D445EFB"/>
    <w:rsid w:val="60E7781B"/>
    <w:rsid w:val="635B76A3"/>
    <w:rsid w:val="67A867E9"/>
    <w:rsid w:val="6AFD0DE2"/>
    <w:rsid w:val="73275F60"/>
    <w:rsid w:val="738901AA"/>
    <w:rsid w:val="783D1B4C"/>
    <w:rsid w:val="7F333F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uiPriority="0" w:unhideWhenUsed="0" w:qFormat="1"/>
    <w:lsdException w:name="header" w:qFormat="1"/>
    <w:lsdException w:name="footer" w:qFormat="1"/>
    <w:lsdException w:name="caption" w:uiPriority="35" w:qFormat="1"/>
    <w:lsdException w:name="annotation reference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59" w:unhideWhenUsed="0" w:qFormat="1"/>
    <w:lsdException w:name="Placeholder Text" w:semiHidden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78602E"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link w:val="2Char"/>
    <w:autoRedefine/>
    <w:uiPriority w:val="99"/>
    <w:qFormat/>
    <w:rsid w:val="0078602E"/>
    <w:pPr>
      <w:keepNext/>
      <w:keepLines/>
      <w:spacing w:before="260" w:after="260" w:line="415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autoRedefine/>
    <w:uiPriority w:val="99"/>
    <w:semiHidden/>
    <w:unhideWhenUsed/>
    <w:qFormat/>
    <w:rsid w:val="0078602E"/>
    <w:rPr>
      <w:sz w:val="18"/>
      <w:szCs w:val="18"/>
    </w:rPr>
  </w:style>
  <w:style w:type="paragraph" w:styleId="a4">
    <w:name w:val="footer"/>
    <w:basedOn w:val="a"/>
    <w:link w:val="Char0"/>
    <w:autoRedefine/>
    <w:uiPriority w:val="99"/>
    <w:semiHidden/>
    <w:unhideWhenUsed/>
    <w:qFormat/>
    <w:rsid w:val="007860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autoRedefine/>
    <w:uiPriority w:val="99"/>
    <w:semiHidden/>
    <w:unhideWhenUsed/>
    <w:qFormat/>
    <w:rsid w:val="007860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autoRedefine/>
    <w:uiPriority w:val="99"/>
    <w:unhideWhenUsed/>
    <w:qFormat/>
    <w:rsid w:val="0078602E"/>
    <w:pPr>
      <w:spacing w:before="100" w:beforeAutospacing="1" w:after="100" w:afterAutospacing="1"/>
      <w:jc w:val="left"/>
    </w:pPr>
    <w:rPr>
      <w:kern w:val="0"/>
      <w:sz w:val="24"/>
    </w:rPr>
  </w:style>
  <w:style w:type="table" w:styleId="a7">
    <w:name w:val="Table Grid"/>
    <w:basedOn w:val="a1"/>
    <w:autoRedefine/>
    <w:uiPriority w:val="59"/>
    <w:qFormat/>
    <w:rsid w:val="0078602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har">
    <w:name w:val="标题 2 Char"/>
    <w:link w:val="2"/>
    <w:autoRedefine/>
    <w:uiPriority w:val="99"/>
    <w:qFormat/>
    <w:rsid w:val="0078602E"/>
    <w:rPr>
      <w:rFonts w:ascii="Cambria" w:hAnsi="Cambria"/>
      <w:b/>
      <w:bCs/>
      <w:kern w:val="2"/>
      <w:sz w:val="32"/>
      <w:szCs w:val="32"/>
    </w:rPr>
  </w:style>
  <w:style w:type="paragraph" w:customStyle="1" w:styleId="1">
    <w:name w:val="列出段落1"/>
    <w:basedOn w:val="a"/>
    <w:autoRedefine/>
    <w:qFormat/>
    <w:rsid w:val="0078602E"/>
    <w:pPr>
      <w:ind w:firstLine="200"/>
    </w:pPr>
    <w:rPr>
      <w:szCs w:val="21"/>
    </w:rPr>
  </w:style>
  <w:style w:type="character" w:customStyle="1" w:styleId="Char1">
    <w:name w:val="页眉 Char"/>
    <w:basedOn w:val="a0"/>
    <w:link w:val="a5"/>
    <w:autoRedefine/>
    <w:uiPriority w:val="99"/>
    <w:semiHidden/>
    <w:qFormat/>
    <w:rsid w:val="0078602E"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autoRedefine/>
    <w:uiPriority w:val="99"/>
    <w:semiHidden/>
    <w:qFormat/>
    <w:rsid w:val="0078602E"/>
    <w:rPr>
      <w:kern w:val="2"/>
      <w:sz w:val="18"/>
      <w:szCs w:val="18"/>
    </w:rPr>
  </w:style>
  <w:style w:type="character" w:styleId="a8">
    <w:name w:val="Placeholder Text"/>
    <w:basedOn w:val="a0"/>
    <w:autoRedefine/>
    <w:uiPriority w:val="99"/>
    <w:unhideWhenUsed/>
    <w:qFormat/>
    <w:rsid w:val="0078602E"/>
    <w:rPr>
      <w:color w:val="808080"/>
    </w:rPr>
  </w:style>
  <w:style w:type="character" w:customStyle="1" w:styleId="Char">
    <w:name w:val="批注框文本 Char"/>
    <w:basedOn w:val="a0"/>
    <w:link w:val="a3"/>
    <w:autoRedefine/>
    <w:uiPriority w:val="99"/>
    <w:semiHidden/>
    <w:qFormat/>
    <w:rsid w:val="0078602E"/>
    <w:rPr>
      <w:kern w:val="2"/>
      <w:sz w:val="18"/>
      <w:szCs w:val="18"/>
    </w:rPr>
  </w:style>
  <w:style w:type="paragraph" w:styleId="a9">
    <w:name w:val="List Paragraph"/>
    <w:basedOn w:val="a"/>
    <w:autoRedefine/>
    <w:uiPriority w:val="99"/>
    <w:qFormat/>
    <w:rsid w:val="0078602E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251</Words>
  <Characters>1434</Characters>
  <Application>Microsoft Office Word</Application>
  <DocSecurity>0</DocSecurity>
  <Lines>11</Lines>
  <Paragraphs>3</Paragraphs>
  <ScaleCrop>false</ScaleCrop>
  <Company>Microsoft</Company>
  <LinksUpToDate>false</LinksUpToDate>
  <CharactersWithSpaces>1682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luozuobo</dc:creator>
  <cp:lastModifiedBy>admin</cp:lastModifiedBy>
  <cp:revision>2</cp:revision>
  <cp:lastPrinted>2113-01-01T00:00:00Z</cp:lastPrinted>
  <dcterms:created xsi:type="dcterms:W3CDTF">2023-02-17T07:08:00Z</dcterms:created>
  <dcterms:modified xsi:type="dcterms:W3CDTF">2025-04-08T01:43:00Z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355F389FD15E4490BE6D94636EE91EBD</vt:lpwstr>
  </property>
  <property fmtid="{D5CDD505-2E9C-101B-9397-08002B2CF9AE}" pid="3" name="KSOProductBuildVer">
    <vt:lpwstr>2052-12.1.0.19302</vt:lpwstr>
  </property>
  <property fmtid="{D5CDD505-2E9C-101B-9397-08002B2CF9AE}" pid="4" name="KSOTemplateDocerSaveRecord">
    <vt:lpwstr>eyJoZGlkIjoiNDIwNTM5MjQ4MTBjNmI4MDViZjJkMWFlYzAwNjQ5NWIiLCJ1c2VySWQiOiIzNDA0NDMzNzMifQ==</vt:lpwstr>
  </property>
</Properties>
</file>