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CE02A">
      <w:pPr>
        <w:jc w:val="center"/>
        <w:rPr>
          <w:rFonts w:ascii="黑体" w:hAnsi="黑体" w:eastAsia="黑体" w:cs="黑体"/>
          <w:b/>
          <w:bCs/>
          <w:sz w:val="32"/>
          <w:szCs w:val="32"/>
        </w:rPr>
      </w:pPr>
      <w:r>
        <w:rPr>
          <w:rFonts w:hint="eastAsia" w:ascii="黑体" w:hAnsi="黑体" w:eastAsia="黑体" w:cs="黑体"/>
          <w:b/>
          <w:bCs/>
          <w:sz w:val="32"/>
          <w:szCs w:val="32"/>
        </w:rPr>
        <w:t>嘉兴银行理财业务202</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年半年度报告（</w:t>
      </w:r>
      <w:r>
        <w:rPr>
          <w:rFonts w:hint="eastAsia" w:ascii="黑体" w:hAnsi="黑体" w:eastAsia="黑体" w:cs="黑体"/>
          <w:b/>
          <w:bCs/>
          <w:sz w:val="32"/>
          <w:szCs w:val="32"/>
          <w:lang w:val="en-US" w:eastAsia="zh-CN"/>
        </w:rPr>
        <w:t>下</w:t>
      </w:r>
      <w:r>
        <w:rPr>
          <w:rFonts w:hint="eastAsia" w:ascii="黑体" w:hAnsi="黑体" w:eastAsia="黑体" w:cs="黑体"/>
          <w:b/>
          <w:bCs/>
          <w:sz w:val="32"/>
          <w:szCs w:val="32"/>
        </w:rPr>
        <w:t>半年）</w:t>
      </w:r>
    </w:p>
    <w:p w14:paraId="310B39C7">
      <w:pPr>
        <w:rPr>
          <w:rFonts w:ascii="仿宋_GB2312" w:hAnsi="等线" w:eastAsia="仿宋_GB2312" w:cs="宋体"/>
          <w:b/>
          <w:kern w:val="0"/>
          <w:sz w:val="22"/>
        </w:rPr>
      </w:pPr>
      <w:r>
        <w:rPr>
          <w:rFonts w:hint="eastAsia" w:ascii="仿宋_GB2312" w:hAnsi="等线" w:eastAsia="仿宋_GB2312" w:cs="宋体"/>
          <w:bCs/>
          <w:color w:val="000000"/>
          <w:kern w:val="0"/>
          <w:sz w:val="22"/>
        </w:rPr>
        <w:t>报告期自202</w:t>
      </w:r>
      <w:r>
        <w:rPr>
          <w:rFonts w:hint="eastAsia" w:ascii="仿宋_GB2312" w:hAnsi="等线" w:eastAsia="仿宋_GB2312" w:cs="宋体"/>
          <w:bCs/>
          <w:color w:val="000000"/>
          <w:kern w:val="0"/>
          <w:sz w:val="22"/>
          <w:lang w:val="en-US" w:eastAsia="zh-CN"/>
        </w:rPr>
        <w:t>4</w:t>
      </w:r>
      <w:r>
        <w:rPr>
          <w:rFonts w:hint="eastAsia" w:ascii="仿宋_GB2312" w:hAnsi="等线" w:eastAsia="仿宋_GB2312" w:cs="宋体"/>
          <w:bCs/>
          <w:color w:val="000000"/>
          <w:kern w:val="0"/>
          <w:sz w:val="22"/>
        </w:rPr>
        <w:t>年</w:t>
      </w:r>
      <w:r>
        <w:rPr>
          <w:rFonts w:hint="eastAsia" w:ascii="仿宋_GB2312" w:hAnsi="等线" w:eastAsia="仿宋_GB2312" w:cs="宋体"/>
          <w:bCs/>
          <w:color w:val="000000"/>
          <w:kern w:val="0"/>
          <w:sz w:val="22"/>
          <w:lang w:val="en-US" w:eastAsia="zh-CN"/>
        </w:rPr>
        <w:t>7</w:t>
      </w:r>
      <w:r>
        <w:rPr>
          <w:rFonts w:hint="eastAsia" w:ascii="仿宋_GB2312" w:hAnsi="等线" w:eastAsia="仿宋_GB2312" w:cs="宋体"/>
          <w:bCs/>
          <w:color w:val="000000"/>
          <w:kern w:val="0"/>
          <w:sz w:val="22"/>
        </w:rPr>
        <w:t>月1日至202</w:t>
      </w:r>
      <w:r>
        <w:rPr>
          <w:rFonts w:hint="eastAsia" w:ascii="仿宋_GB2312" w:hAnsi="等线" w:eastAsia="仿宋_GB2312" w:cs="宋体"/>
          <w:bCs/>
          <w:color w:val="000000"/>
          <w:kern w:val="0"/>
          <w:sz w:val="22"/>
          <w:lang w:val="en-US" w:eastAsia="zh-CN"/>
        </w:rPr>
        <w:t>4</w:t>
      </w:r>
      <w:r>
        <w:rPr>
          <w:rFonts w:hint="eastAsia" w:ascii="仿宋_GB2312" w:hAnsi="等线" w:eastAsia="仿宋_GB2312" w:cs="宋体"/>
          <w:bCs/>
          <w:color w:val="000000"/>
          <w:kern w:val="0"/>
          <w:sz w:val="22"/>
        </w:rPr>
        <w:t>年</w:t>
      </w:r>
      <w:r>
        <w:rPr>
          <w:rFonts w:hint="eastAsia" w:ascii="仿宋_GB2312" w:hAnsi="等线" w:eastAsia="仿宋_GB2312" w:cs="宋体"/>
          <w:bCs/>
          <w:color w:val="000000"/>
          <w:kern w:val="0"/>
          <w:sz w:val="22"/>
          <w:lang w:val="en-US" w:eastAsia="zh-CN"/>
        </w:rPr>
        <w:t>12</w:t>
      </w:r>
      <w:r>
        <w:rPr>
          <w:rFonts w:hint="eastAsia" w:ascii="仿宋_GB2312" w:hAnsi="等线" w:eastAsia="仿宋_GB2312" w:cs="宋体"/>
          <w:bCs/>
          <w:color w:val="000000"/>
          <w:kern w:val="0"/>
          <w:sz w:val="22"/>
        </w:rPr>
        <w:t>月3</w:t>
      </w:r>
      <w:r>
        <w:rPr>
          <w:rFonts w:hint="eastAsia" w:ascii="仿宋_GB2312" w:hAnsi="等线" w:eastAsia="仿宋_GB2312" w:cs="宋体"/>
          <w:bCs/>
          <w:color w:val="000000"/>
          <w:kern w:val="0"/>
          <w:sz w:val="22"/>
          <w:lang w:val="en-US" w:eastAsia="zh-CN"/>
        </w:rPr>
        <w:t>1</w:t>
      </w:r>
      <w:r>
        <w:rPr>
          <w:rFonts w:hint="eastAsia" w:ascii="仿宋_GB2312" w:hAnsi="等线" w:eastAsia="仿宋_GB2312" w:cs="宋体"/>
          <w:bCs/>
          <w:color w:val="000000"/>
          <w:kern w:val="0"/>
          <w:sz w:val="22"/>
        </w:rPr>
        <w:t>日止。</w:t>
      </w:r>
    </w:p>
    <w:p w14:paraId="75FBCBA1">
      <w:pPr>
        <w:pStyle w:val="10"/>
        <w:numPr>
          <w:ilvl w:val="0"/>
          <w:numId w:val="1"/>
        </w:numPr>
        <w:ind w:firstLineChars="0"/>
        <w:rPr>
          <w:b/>
          <w:bCs/>
          <w:color w:val="000000"/>
          <w:spacing w:val="10"/>
          <w:sz w:val="28"/>
          <w:szCs w:val="28"/>
          <w:shd w:val="clear" w:color="auto" w:fill="FFFFFF"/>
        </w:rPr>
      </w:pPr>
      <w:r>
        <w:rPr>
          <w:rFonts w:hint="eastAsia" w:ascii="仿宋_GB2312" w:hAnsi="仿宋_GB2312" w:eastAsia="仿宋_GB2312" w:cs="仿宋_GB2312"/>
          <w:b/>
          <w:bCs/>
          <w:sz w:val="28"/>
          <w:szCs w:val="28"/>
        </w:rPr>
        <w:t>报告期内理财产品发行及到期情况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7C53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Merge w:val="restart"/>
            <w:vAlign w:val="center"/>
          </w:tcPr>
          <w:p w14:paraId="0D7E1FF7">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产品类别</w:t>
            </w:r>
          </w:p>
        </w:tc>
        <w:tc>
          <w:tcPr>
            <w:tcW w:w="2840" w:type="dxa"/>
            <w:gridSpan w:val="2"/>
          </w:tcPr>
          <w:p w14:paraId="74B5D021">
            <w:pPr>
              <w:widowControl/>
              <w:jc w:val="center"/>
              <w:rPr>
                <w:rFonts w:ascii="仿宋_GB2312" w:hAnsi="等线" w:eastAsia="仿宋_GB2312" w:cs="宋体"/>
                <w:b/>
                <w:bCs/>
                <w:color w:val="000000"/>
                <w:kern w:val="0"/>
                <w:sz w:val="22"/>
                <w:vertAlign w:val="superscript"/>
              </w:rPr>
            </w:pPr>
            <w:r>
              <w:rPr>
                <w:rFonts w:ascii="仿宋_GB2312" w:hAnsi="等线" w:eastAsia="仿宋_GB2312" w:cs="宋体"/>
                <w:b/>
                <w:bCs/>
                <w:color w:val="000000"/>
                <w:kern w:val="0"/>
                <w:sz w:val="22"/>
              </w:rPr>
              <w:t>报告期发行理财产品</w:t>
            </w:r>
            <w:r>
              <w:rPr>
                <w:rFonts w:hint="eastAsia" w:ascii="仿宋_GB2312" w:hAnsi="等线" w:eastAsia="仿宋_GB2312" w:cs="宋体"/>
                <w:b/>
                <w:bCs/>
                <w:color w:val="000000"/>
                <w:kern w:val="0"/>
                <w:sz w:val="22"/>
                <w:vertAlign w:val="superscript"/>
              </w:rPr>
              <w:t>1</w:t>
            </w:r>
          </w:p>
        </w:tc>
        <w:tc>
          <w:tcPr>
            <w:tcW w:w="2842" w:type="dxa"/>
            <w:gridSpan w:val="2"/>
          </w:tcPr>
          <w:p w14:paraId="7C5FF212">
            <w:pPr>
              <w:widowControl/>
              <w:jc w:val="center"/>
              <w:rPr>
                <w:rFonts w:ascii="仿宋_GB2312" w:hAnsi="等线" w:eastAsia="仿宋_GB2312" w:cs="宋体"/>
                <w:b/>
                <w:bCs/>
                <w:color w:val="000000"/>
                <w:kern w:val="0"/>
                <w:sz w:val="22"/>
                <w:vertAlign w:val="superscript"/>
              </w:rPr>
            </w:pPr>
            <w:r>
              <w:rPr>
                <w:rFonts w:ascii="仿宋_GB2312" w:hAnsi="等线" w:eastAsia="仿宋_GB2312" w:cs="宋体"/>
                <w:b/>
                <w:bCs/>
                <w:color w:val="000000"/>
                <w:kern w:val="0"/>
                <w:sz w:val="22"/>
              </w:rPr>
              <w:t>报告期到期理财产品</w:t>
            </w:r>
            <w:r>
              <w:rPr>
                <w:rFonts w:hint="eastAsia" w:ascii="仿宋_GB2312" w:hAnsi="等线" w:eastAsia="仿宋_GB2312" w:cs="宋体"/>
                <w:b/>
                <w:bCs/>
                <w:color w:val="000000"/>
                <w:kern w:val="0"/>
                <w:sz w:val="22"/>
                <w:vertAlign w:val="superscript"/>
              </w:rPr>
              <w:t>2</w:t>
            </w:r>
          </w:p>
        </w:tc>
      </w:tr>
      <w:tr w14:paraId="1813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Merge w:val="continue"/>
          </w:tcPr>
          <w:p w14:paraId="7059628D">
            <w:pPr>
              <w:widowControl/>
              <w:jc w:val="center"/>
              <w:rPr>
                <w:rFonts w:ascii="仿宋_GB2312" w:hAnsi="等线" w:eastAsia="仿宋_GB2312" w:cs="宋体"/>
                <w:b/>
                <w:bCs/>
                <w:color w:val="000000"/>
                <w:kern w:val="0"/>
                <w:sz w:val="22"/>
              </w:rPr>
            </w:pPr>
          </w:p>
        </w:tc>
        <w:tc>
          <w:tcPr>
            <w:tcW w:w="1420" w:type="dxa"/>
          </w:tcPr>
          <w:p w14:paraId="386F3B41">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数量（只）</w:t>
            </w:r>
          </w:p>
        </w:tc>
        <w:tc>
          <w:tcPr>
            <w:tcW w:w="1420" w:type="dxa"/>
          </w:tcPr>
          <w:p w14:paraId="7ECEAFD9">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金额</w:t>
            </w:r>
            <w:r>
              <w:rPr>
                <w:rFonts w:hint="eastAsia" w:ascii="仿宋_GB2312" w:hAnsi="等线" w:eastAsia="仿宋_GB2312" w:cs="宋体"/>
                <w:b/>
                <w:bCs/>
                <w:color w:val="000000"/>
                <w:kern w:val="0"/>
                <w:sz w:val="22"/>
              </w:rPr>
              <w:t>（亿元）</w:t>
            </w:r>
          </w:p>
        </w:tc>
        <w:tc>
          <w:tcPr>
            <w:tcW w:w="1421" w:type="dxa"/>
          </w:tcPr>
          <w:p w14:paraId="20FF0639">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数量（只）</w:t>
            </w:r>
          </w:p>
        </w:tc>
        <w:tc>
          <w:tcPr>
            <w:tcW w:w="1421" w:type="dxa"/>
          </w:tcPr>
          <w:p w14:paraId="3623731F">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金额</w:t>
            </w:r>
            <w:r>
              <w:rPr>
                <w:rFonts w:hint="eastAsia" w:ascii="仿宋_GB2312" w:hAnsi="等线" w:eastAsia="仿宋_GB2312" w:cs="宋体"/>
                <w:b/>
                <w:bCs/>
                <w:color w:val="000000"/>
                <w:kern w:val="0"/>
                <w:sz w:val="22"/>
              </w:rPr>
              <w:t>（亿元）</w:t>
            </w:r>
          </w:p>
        </w:tc>
      </w:tr>
      <w:tr w14:paraId="559B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14:paraId="68B7219F">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按募集方式</w:t>
            </w:r>
          </w:p>
        </w:tc>
        <w:tc>
          <w:tcPr>
            <w:tcW w:w="1420" w:type="dxa"/>
            <w:vAlign w:val="center"/>
          </w:tcPr>
          <w:p w14:paraId="1C133EAB">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公募</w:t>
            </w:r>
          </w:p>
        </w:tc>
        <w:tc>
          <w:tcPr>
            <w:tcW w:w="1420" w:type="dxa"/>
            <w:vAlign w:val="center"/>
          </w:tcPr>
          <w:p w14:paraId="3AFD4E1F">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71</w:t>
            </w:r>
          </w:p>
        </w:tc>
        <w:tc>
          <w:tcPr>
            <w:tcW w:w="1420" w:type="dxa"/>
            <w:vAlign w:val="center"/>
          </w:tcPr>
          <w:p w14:paraId="123CFDE1">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137.26</w:t>
            </w:r>
          </w:p>
        </w:tc>
        <w:tc>
          <w:tcPr>
            <w:tcW w:w="1421" w:type="dxa"/>
            <w:vAlign w:val="center"/>
          </w:tcPr>
          <w:p w14:paraId="490B7BCC">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89</w:t>
            </w:r>
          </w:p>
        </w:tc>
        <w:tc>
          <w:tcPr>
            <w:tcW w:w="1421" w:type="dxa"/>
            <w:vAlign w:val="center"/>
          </w:tcPr>
          <w:p w14:paraId="129DD5F3">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165.59</w:t>
            </w:r>
          </w:p>
        </w:tc>
      </w:tr>
      <w:tr w14:paraId="712D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20" w:type="dxa"/>
            <w:vMerge w:val="continue"/>
            <w:vAlign w:val="center"/>
          </w:tcPr>
          <w:p w14:paraId="3C3D2692">
            <w:pPr>
              <w:widowControl/>
              <w:jc w:val="center"/>
              <w:rPr>
                <w:rFonts w:ascii="仿宋_GB2312" w:hAnsi="等线" w:eastAsia="仿宋_GB2312" w:cs="宋体"/>
                <w:bCs/>
                <w:color w:val="000000"/>
                <w:kern w:val="0"/>
                <w:sz w:val="22"/>
              </w:rPr>
            </w:pPr>
          </w:p>
        </w:tc>
        <w:tc>
          <w:tcPr>
            <w:tcW w:w="1420" w:type="dxa"/>
            <w:vAlign w:val="center"/>
          </w:tcPr>
          <w:p w14:paraId="720B0200">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私募</w:t>
            </w:r>
          </w:p>
        </w:tc>
        <w:tc>
          <w:tcPr>
            <w:tcW w:w="1420" w:type="dxa"/>
            <w:vAlign w:val="center"/>
          </w:tcPr>
          <w:p w14:paraId="7B8163FE">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8</w:t>
            </w:r>
          </w:p>
        </w:tc>
        <w:tc>
          <w:tcPr>
            <w:tcW w:w="1420" w:type="dxa"/>
            <w:vAlign w:val="center"/>
          </w:tcPr>
          <w:p w14:paraId="177D48FC">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6.80</w:t>
            </w:r>
          </w:p>
        </w:tc>
        <w:tc>
          <w:tcPr>
            <w:tcW w:w="1421" w:type="dxa"/>
            <w:vAlign w:val="center"/>
          </w:tcPr>
          <w:p w14:paraId="0C7F9F14">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7</w:t>
            </w:r>
          </w:p>
        </w:tc>
        <w:tc>
          <w:tcPr>
            <w:tcW w:w="1421" w:type="dxa"/>
            <w:vAlign w:val="center"/>
          </w:tcPr>
          <w:p w14:paraId="23F3C80B">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3.60</w:t>
            </w:r>
          </w:p>
        </w:tc>
      </w:tr>
      <w:tr w14:paraId="2459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7708E85C">
            <w:pPr>
              <w:widowControl/>
              <w:jc w:val="center"/>
              <w:rPr>
                <w:rFonts w:ascii="仿宋_GB2312" w:hAnsi="等线" w:eastAsia="仿宋_GB2312" w:cs="宋体"/>
                <w:bCs/>
                <w:color w:val="000000"/>
                <w:kern w:val="0"/>
                <w:sz w:val="22"/>
              </w:rPr>
            </w:pPr>
          </w:p>
        </w:tc>
        <w:tc>
          <w:tcPr>
            <w:tcW w:w="1420" w:type="dxa"/>
            <w:vAlign w:val="center"/>
          </w:tcPr>
          <w:p w14:paraId="147C6D9E">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合计</w:t>
            </w:r>
          </w:p>
        </w:tc>
        <w:tc>
          <w:tcPr>
            <w:tcW w:w="1420" w:type="dxa"/>
            <w:vAlign w:val="center"/>
          </w:tcPr>
          <w:p w14:paraId="744E9179">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79</w:t>
            </w:r>
          </w:p>
        </w:tc>
        <w:tc>
          <w:tcPr>
            <w:tcW w:w="1420" w:type="dxa"/>
            <w:vAlign w:val="center"/>
          </w:tcPr>
          <w:p w14:paraId="449D6931">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144.06</w:t>
            </w:r>
          </w:p>
        </w:tc>
        <w:tc>
          <w:tcPr>
            <w:tcW w:w="1421" w:type="dxa"/>
            <w:vAlign w:val="center"/>
          </w:tcPr>
          <w:p w14:paraId="6C7B8E17">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96</w:t>
            </w:r>
          </w:p>
        </w:tc>
        <w:tc>
          <w:tcPr>
            <w:tcW w:w="1421" w:type="dxa"/>
            <w:vAlign w:val="center"/>
          </w:tcPr>
          <w:p w14:paraId="3B8D1D4E">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169.19</w:t>
            </w:r>
          </w:p>
        </w:tc>
      </w:tr>
      <w:tr w14:paraId="3090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14:paraId="643A595A">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按投资性质</w:t>
            </w:r>
          </w:p>
        </w:tc>
        <w:tc>
          <w:tcPr>
            <w:tcW w:w="1420" w:type="dxa"/>
            <w:vAlign w:val="center"/>
          </w:tcPr>
          <w:p w14:paraId="17E48FF4">
            <w:pPr>
              <w:widowControl/>
              <w:jc w:val="center"/>
              <w:rPr>
                <w:rFonts w:ascii="仿宋_GB2312" w:hAnsi="等线" w:eastAsia="仿宋_GB2312" w:cs="宋体"/>
                <w:bCs/>
                <w:color w:val="000000"/>
                <w:kern w:val="0"/>
                <w:sz w:val="22"/>
              </w:rPr>
            </w:pPr>
            <w:r>
              <w:rPr>
                <w:rFonts w:hint="eastAsia" w:ascii="仿宋_GB2312" w:hAnsi="等线" w:eastAsia="仿宋_GB2312" w:cs="宋体"/>
                <w:bCs/>
                <w:color w:val="000000"/>
                <w:kern w:val="0"/>
                <w:sz w:val="22"/>
              </w:rPr>
              <w:t>固定收益</w:t>
            </w:r>
            <w:r>
              <w:rPr>
                <w:rFonts w:ascii="仿宋_GB2312" w:hAnsi="等线" w:eastAsia="仿宋_GB2312" w:cs="宋体"/>
                <w:bCs/>
                <w:color w:val="000000"/>
                <w:kern w:val="0"/>
                <w:sz w:val="22"/>
              </w:rPr>
              <w:t>类</w:t>
            </w:r>
          </w:p>
        </w:tc>
        <w:tc>
          <w:tcPr>
            <w:tcW w:w="1420" w:type="dxa"/>
            <w:vAlign w:val="center"/>
          </w:tcPr>
          <w:p w14:paraId="4667F313">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79</w:t>
            </w:r>
          </w:p>
        </w:tc>
        <w:tc>
          <w:tcPr>
            <w:tcW w:w="1420" w:type="dxa"/>
            <w:vAlign w:val="center"/>
          </w:tcPr>
          <w:p w14:paraId="1E2BC715">
            <w:pPr>
              <w:widowControl/>
              <w:jc w:val="center"/>
              <w:rPr>
                <w:rFonts w:hint="default" w:ascii="仿宋_GB2312" w:hAnsi="等线" w:eastAsia="仿宋_GB2312" w:cs="宋体"/>
                <w:bCs/>
                <w:color w:val="000000"/>
                <w:kern w:val="0"/>
                <w:sz w:val="22"/>
                <w:highlight w:val="none"/>
                <w:lang w:val="en-US"/>
              </w:rPr>
            </w:pPr>
            <w:r>
              <w:rPr>
                <w:rFonts w:hint="eastAsia" w:ascii="仿宋_GB2312" w:hAnsi="等线" w:eastAsia="仿宋_GB2312" w:cs="宋体"/>
                <w:bCs/>
                <w:color w:val="000000"/>
                <w:kern w:val="0"/>
                <w:sz w:val="22"/>
                <w:highlight w:val="none"/>
                <w:lang w:val="en-US" w:eastAsia="zh-CN"/>
              </w:rPr>
              <w:t>144.06</w:t>
            </w:r>
          </w:p>
        </w:tc>
        <w:tc>
          <w:tcPr>
            <w:tcW w:w="1421" w:type="dxa"/>
            <w:vAlign w:val="center"/>
          </w:tcPr>
          <w:p w14:paraId="383ACEB1">
            <w:pPr>
              <w:widowControl/>
              <w:jc w:val="center"/>
              <w:rPr>
                <w:rFonts w:hint="default" w:ascii="仿宋_GB2312" w:hAnsi="等线" w:eastAsia="仿宋_GB2312" w:cs="宋体"/>
                <w:bCs/>
                <w:color w:val="000000"/>
                <w:kern w:val="0"/>
                <w:sz w:val="22"/>
                <w:highlight w:val="none"/>
                <w:lang w:val="en-US"/>
              </w:rPr>
            </w:pPr>
            <w:r>
              <w:rPr>
                <w:rFonts w:hint="eastAsia" w:ascii="仿宋_GB2312" w:hAnsi="等线" w:eastAsia="仿宋_GB2312" w:cs="宋体"/>
                <w:bCs/>
                <w:color w:val="000000"/>
                <w:kern w:val="0"/>
                <w:sz w:val="22"/>
                <w:highlight w:val="none"/>
                <w:lang w:val="en-US" w:eastAsia="zh-CN"/>
              </w:rPr>
              <w:t>96</w:t>
            </w:r>
          </w:p>
        </w:tc>
        <w:tc>
          <w:tcPr>
            <w:tcW w:w="1421" w:type="dxa"/>
            <w:vAlign w:val="center"/>
          </w:tcPr>
          <w:p w14:paraId="78481C3C">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lang w:val="en-US" w:eastAsia="zh-CN"/>
              </w:rPr>
              <w:t>169.19</w:t>
            </w:r>
          </w:p>
        </w:tc>
      </w:tr>
      <w:tr w14:paraId="060C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5EDE9B53">
            <w:pPr>
              <w:widowControl/>
              <w:jc w:val="center"/>
              <w:rPr>
                <w:rFonts w:ascii="仿宋_GB2312" w:hAnsi="等线" w:eastAsia="仿宋_GB2312" w:cs="宋体"/>
                <w:bCs/>
                <w:color w:val="000000"/>
                <w:kern w:val="0"/>
                <w:sz w:val="22"/>
              </w:rPr>
            </w:pPr>
          </w:p>
        </w:tc>
        <w:tc>
          <w:tcPr>
            <w:tcW w:w="1420" w:type="dxa"/>
            <w:vAlign w:val="center"/>
          </w:tcPr>
          <w:p w14:paraId="2A4307BE">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权益类</w:t>
            </w:r>
          </w:p>
        </w:tc>
        <w:tc>
          <w:tcPr>
            <w:tcW w:w="1420" w:type="dxa"/>
          </w:tcPr>
          <w:p w14:paraId="66CB98B0">
            <w:pPr>
              <w:jc w:val="center"/>
              <w:rPr>
                <w:highlight w:val="none"/>
              </w:rPr>
            </w:pPr>
            <w:r>
              <w:rPr>
                <w:rFonts w:hint="eastAsia" w:ascii="仿宋_GB2312" w:hAnsi="等线" w:eastAsia="仿宋_GB2312" w:cs="宋体"/>
                <w:bCs/>
                <w:color w:val="000000"/>
                <w:kern w:val="0"/>
                <w:sz w:val="22"/>
                <w:highlight w:val="none"/>
              </w:rPr>
              <w:t>-</w:t>
            </w:r>
          </w:p>
        </w:tc>
        <w:tc>
          <w:tcPr>
            <w:tcW w:w="1420" w:type="dxa"/>
          </w:tcPr>
          <w:p w14:paraId="50AC9D2B">
            <w:pPr>
              <w:jc w:val="center"/>
              <w:rPr>
                <w:highlight w:val="none"/>
              </w:rPr>
            </w:pPr>
            <w:r>
              <w:rPr>
                <w:rFonts w:hint="eastAsia" w:ascii="仿宋_GB2312" w:hAnsi="等线" w:eastAsia="仿宋_GB2312" w:cs="宋体"/>
                <w:bCs/>
                <w:color w:val="000000"/>
                <w:kern w:val="0"/>
                <w:sz w:val="22"/>
                <w:highlight w:val="none"/>
              </w:rPr>
              <w:t>-</w:t>
            </w:r>
          </w:p>
        </w:tc>
        <w:tc>
          <w:tcPr>
            <w:tcW w:w="1421" w:type="dxa"/>
          </w:tcPr>
          <w:p w14:paraId="0BC879EF">
            <w:pPr>
              <w:jc w:val="center"/>
              <w:rPr>
                <w:highlight w:val="none"/>
              </w:rPr>
            </w:pPr>
            <w:r>
              <w:rPr>
                <w:rFonts w:hint="eastAsia" w:ascii="仿宋_GB2312" w:hAnsi="等线" w:eastAsia="仿宋_GB2312" w:cs="宋体"/>
                <w:bCs/>
                <w:color w:val="000000"/>
                <w:kern w:val="0"/>
                <w:sz w:val="22"/>
                <w:highlight w:val="none"/>
              </w:rPr>
              <w:t>-</w:t>
            </w:r>
          </w:p>
        </w:tc>
        <w:tc>
          <w:tcPr>
            <w:tcW w:w="1421" w:type="dxa"/>
          </w:tcPr>
          <w:p w14:paraId="1169D412">
            <w:pPr>
              <w:jc w:val="center"/>
              <w:rPr>
                <w:highlight w:val="none"/>
              </w:rPr>
            </w:pPr>
            <w:r>
              <w:rPr>
                <w:rFonts w:hint="eastAsia" w:ascii="仿宋_GB2312" w:hAnsi="等线" w:eastAsia="仿宋_GB2312" w:cs="宋体"/>
                <w:bCs/>
                <w:color w:val="000000"/>
                <w:kern w:val="0"/>
                <w:sz w:val="22"/>
                <w:highlight w:val="none"/>
              </w:rPr>
              <w:t>-</w:t>
            </w:r>
          </w:p>
        </w:tc>
      </w:tr>
      <w:tr w14:paraId="0D0B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27C4120E">
            <w:pPr>
              <w:widowControl/>
              <w:jc w:val="center"/>
              <w:rPr>
                <w:rFonts w:ascii="仿宋_GB2312" w:hAnsi="等线" w:eastAsia="仿宋_GB2312" w:cs="宋体"/>
                <w:bCs/>
                <w:color w:val="000000"/>
                <w:kern w:val="0"/>
                <w:sz w:val="22"/>
              </w:rPr>
            </w:pPr>
          </w:p>
        </w:tc>
        <w:tc>
          <w:tcPr>
            <w:tcW w:w="1420" w:type="dxa"/>
            <w:vAlign w:val="center"/>
          </w:tcPr>
          <w:p w14:paraId="638797C3">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商品及金融衍生品类</w:t>
            </w:r>
          </w:p>
        </w:tc>
        <w:tc>
          <w:tcPr>
            <w:tcW w:w="1420" w:type="dxa"/>
            <w:vAlign w:val="center"/>
          </w:tcPr>
          <w:p w14:paraId="1FAF17FC">
            <w:pPr>
              <w:jc w:val="center"/>
              <w:rPr>
                <w:highlight w:val="none"/>
              </w:rPr>
            </w:pPr>
            <w:r>
              <w:rPr>
                <w:rFonts w:hint="eastAsia" w:ascii="仿宋_GB2312" w:hAnsi="等线" w:eastAsia="仿宋_GB2312" w:cs="宋体"/>
                <w:bCs/>
                <w:color w:val="000000"/>
                <w:kern w:val="0"/>
                <w:sz w:val="22"/>
                <w:highlight w:val="none"/>
              </w:rPr>
              <w:t>-</w:t>
            </w:r>
          </w:p>
        </w:tc>
        <w:tc>
          <w:tcPr>
            <w:tcW w:w="1420" w:type="dxa"/>
            <w:vAlign w:val="center"/>
          </w:tcPr>
          <w:p w14:paraId="5A28E228">
            <w:pPr>
              <w:jc w:val="center"/>
              <w:rPr>
                <w:highlight w:val="none"/>
              </w:rPr>
            </w:pPr>
            <w:r>
              <w:rPr>
                <w:rFonts w:hint="eastAsia" w:ascii="仿宋_GB2312" w:hAnsi="等线" w:eastAsia="仿宋_GB2312" w:cs="宋体"/>
                <w:bCs/>
                <w:color w:val="000000"/>
                <w:kern w:val="0"/>
                <w:sz w:val="22"/>
                <w:highlight w:val="none"/>
              </w:rPr>
              <w:t>-</w:t>
            </w:r>
          </w:p>
        </w:tc>
        <w:tc>
          <w:tcPr>
            <w:tcW w:w="1421" w:type="dxa"/>
            <w:vAlign w:val="center"/>
          </w:tcPr>
          <w:p w14:paraId="6E4D8A59">
            <w:pPr>
              <w:jc w:val="center"/>
              <w:rPr>
                <w:highlight w:val="none"/>
              </w:rPr>
            </w:pPr>
            <w:r>
              <w:rPr>
                <w:rFonts w:hint="eastAsia" w:ascii="仿宋_GB2312" w:hAnsi="等线" w:eastAsia="仿宋_GB2312" w:cs="宋体"/>
                <w:bCs/>
                <w:color w:val="000000"/>
                <w:kern w:val="0"/>
                <w:sz w:val="22"/>
                <w:highlight w:val="none"/>
              </w:rPr>
              <w:t>-</w:t>
            </w:r>
          </w:p>
        </w:tc>
        <w:tc>
          <w:tcPr>
            <w:tcW w:w="1421" w:type="dxa"/>
            <w:vAlign w:val="center"/>
          </w:tcPr>
          <w:p w14:paraId="67FCE47B">
            <w:pPr>
              <w:jc w:val="center"/>
              <w:rPr>
                <w:highlight w:val="none"/>
              </w:rPr>
            </w:pPr>
            <w:r>
              <w:rPr>
                <w:rFonts w:hint="eastAsia" w:ascii="仿宋_GB2312" w:hAnsi="等线" w:eastAsia="仿宋_GB2312" w:cs="宋体"/>
                <w:bCs/>
                <w:color w:val="000000"/>
                <w:kern w:val="0"/>
                <w:sz w:val="22"/>
                <w:highlight w:val="none"/>
              </w:rPr>
              <w:t>-</w:t>
            </w:r>
          </w:p>
        </w:tc>
      </w:tr>
      <w:tr w14:paraId="53F5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6592ECAF">
            <w:pPr>
              <w:widowControl/>
              <w:jc w:val="center"/>
              <w:rPr>
                <w:rFonts w:ascii="仿宋_GB2312" w:hAnsi="等线" w:eastAsia="仿宋_GB2312" w:cs="宋体"/>
                <w:bCs/>
                <w:color w:val="000000"/>
                <w:kern w:val="0"/>
                <w:sz w:val="22"/>
              </w:rPr>
            </w:pPr>
          </w:p>
        </w:tc>
        <w:tc>
          <w:tcPr>
            <w:tcW w:w="1420" w:type="dxa"/>
            <w:vAlign w:val="center"/>
          </w:tcPr>
          <w:p w14:paraId="395E80CC">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混合类</w:t>
            </w:r>
          </w:p>
        </w:tc>
        <w:tc>
          <w:tcPr>
            <w:tcW w:w="1420" w:type="dxa"/>
          </w:tcPr>
          <w:p w14:paraId="0689708B">
            <w:pPr>
              <w:jc w:val="center"/>
              <w:rPr>
                <w:highlight w:val="none"/>
              </w:rPr>
            </w:pPr>
            <w:r>
              <w:rPr>
                <w:rFonts w:hint="eastAsia" w:ascii="仿宋_GB2312" w:hAnsi="等线" w:eastAsia="仿宋_GB2312" w:cs="宋体"/>
                <w:bCs/>
                <w:color w:val="000000"/>
                <w:kern w:val="0"/>
                <w:sz w:val="22"/>
                <w:highlight w:val="none"/>
              </w:rPr>
              <w:t>-</w:t>
            </w:r>
          </w:p>
        </w:tc>
        <w:tc>
          <w:tcPr>
            <w:tcW w:w="1420" w:type="dxa"/>
          </w:tcPr>
          <w:p w14:paraId="6A25DC11">
            <w:pPr>
              <w:jc w:val="center"/>
              <w:rPr>
                <w:highlight w:val="none"/>
              </w:rPr>
            </w:pPr>
            <w:r>
              <w:rPr>
                <w:rFonts w:hint="eastAsia" w:ascii="仿宋_GB2312" w:hAnsi="等线" w:eastAsia="仿宋_GB2312" w:cs="宋体"/>
                <w:bCs/>
                <w:color w:val="000000"/>
                <w:kern w:val="0"/>
                <w:sz w:val="22"/>
                <w:highlight w:val="none"/>
              </w:rPr>
              <w:t>-</w:t>
            </w:r>
          </w:p>
        </w:tc>
        <w:tc>
          <w:tcPr>
            <w:tcW w:w="1421" w:type="dxa"/>
          </w:tcPr>
          <w:p w14:paraId="5B7C3E6B">
            <w:pPr>
              <w:jc w:val="center"/>
              <w:rPr>
                <w:highlight w:val="none"/>
              </w:rPr>
            </w:pPr>
            <w:r>
              <w:rPr>
                <w:rFonts w:hint="eastAsia" w:ascii="仿宋_GB2312" w:hAnsi="等线" w:eastAsia="仿宋_GB2312" w:cs="宋体"/>
                <w:bCs/>
                <w:color w:val="000000"/>
                <w:kern w:val="0"/>
                <w:sz w:val="22"/>
                <w:highlight w:val="none"/>
              </w:rPr>
              <w:t>-</w:t>
            </w:r>
          </w:p>
        </w:tc>
        <w:tc>
          <w:tcPr>
            <w:tcW w:w="1421" w:type="dxa"/>
          </w:tcPr>
          <w:p w14:paraId="71A72696">
            <w:pPr>
              <w:jc w:val="center"/>
              <w:rPr>
                <w:highlight w:val="none"/>
              </w:rPr>
            </w:pPr>
            <w:r>
              <w:rPr>
                <w:rFonts w:hint="eastAsia" w:ascii="仿宋_GB2312" w:hAnsi="等线" w:eastAsia="仿宋_GB2312" w:cs="宋体"/>
                <w:bCs/>
                <w:color w:val="000000"/>
                <w:kern w:val="0"/>
                <w:sz w:val="22"/>
                <w:highlight w:val="none"/>
              </w:rPr>
              <w:t>-</w:t>
            </w:r>
          </w:p>
        </w:tc>
      </w:tr>
      <w:tr w14:paraId="4BC8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7793D874">
            <w:pPr>
              <w:widowControl/>
              <w:jc w:val="center"/>
              <w:rPr>
                <w:rFonts w:ascii="仿宋_GB2312" w:hAnsi="等线" w:eastAsia="仿宋_GB2312" w:cs="宋体"/>
                <w:bCs/>
                <w:color w:val="000000"/>
                <w:kern w:val="0"/>
                <w:sz w:val="22"/>
              </w:rPr>
            </w:pPr>
          </w:p>
        </w:tc>
        <w:tc>
          <w:tcPr>
            <w:tcW w:w="1420" w:type="dxa"/>
            <w:vAlign w:val="center"/>
          </w:tcPr>
          <w:p w14:paraId="3DB3DD42">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合计</w:t>
            </w:r>
          </w:p>
        </w:tc>
        <w:tc>
          <w:tcPr>
            <w:tcW w:w="1420" w:type="dxa"/>
            <w:vAlign w:val="center"/>
          </w:tcPr>
          <w:p w14:paraId="52DAB88D">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79</w:t>
            </w:r>
          </w:p>
        </w:tc>
        <w:tc>
          <w:tcPr>
            <w:tcW w:w="1420" w:type="dxa"/>
            <w:vAlign w:val="center"/>
          </w:tcPr>
          <w:p w14:paraId="44B97CA8">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lang w:val="en-US" w:eastAsia="zh-CN"/>
              </w:rPr>
              <w:t>144.06</w:t>
            </w:r>
          </w:p>
        </w:tc>
        <w:tc>
          <w:tcPr>
            <w:tcW w:w="1421" w:type="dxa"/>
            <w:vAlign w:val="center"/>
          </w:tcPr>
          <w:p w14:paraId="78EA7737">
            <w:pPr>
              <w:widowControl/>
              <w:jc w:val="center"/>
              <w:rPr>
                <w:rFonts w:hint="default" w:ascii="仿宋_GB2312" w:hAnsi="等线" w:eastAsia="仿宋_GB2312" w:cs="宋体"/>
                <w:bCs/>
                <w:color w:val="000000"/>
                <w:kern w:val="0"/>
                <w:sz w:val="22"/>
                <w:highlight w:val="none"/>
                <w:lang w:val="en-US"/>
              </w:rPr>
            </w:pPr>
            <w:r>
              <w:rPr>
                <w:rFonts w:hint="eastAsia" w:ascii="仿宋_GB2312" w:hAnsi="等线" w:eastAsia="仿宋_GB2312" w:cs="宋体"/>
                <w:bCs/>
                <w:color w:val="000000"/>
                <w:kern w:val="0"/>
                <w:sz w:val="22"/>
                <w:highlight w:val="none"/>
                <w:lang w:val="en-US" w:eastAsia="zh-CN"/>
              </w:rPr>
              <w:t>96</w:t>
            </w:r>
          </w:p>
        </w:tc>
        <w:tc>
          <w:tcPr>
            <w:tcW w:w="1421" w:type="dxa"/>
            <w:vAlign w:val="center"/>
          </w:tcPr>
          <w:p w14:paraId="635C9837">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lang w:val="en-US" w:eastAsia="zh-CN"/>
              </w:rPr>
              <w:t>169.19</w:t>
            </w:r>
          </w:p>
        </w:tc>
      </w:tr>
    </w:tbl>
    <w:p w14:paraId="4F367641">
      <w:pPr>
        <w:widowControl/>
        <w:rPr>
          <w:rFonts w:ascii="仿宋_GB2312" w:hAnsi="等线" w:eastAsia="仿宋_GB2312" w:cs="宋体"/>
          <w:bCs/>
          <w:color w:val="000000"/>
          <w:kern w:val="0"/>
          <w:sz w:val="18"/>
          <w:szCs w:val="18"/>
        </w:rPr>
      </w:pPr>
      <w:r>
        <w:rPr>
          <w:rFonts w:hint="eastAsia" w:ascii="仿宋_GB2312" w:hAnsi="等线" w:eastAsia="仿宋_GB2312" w:cs="宋体"/>
          <w:bCs/>
          <w:color w:val="000000"/>
          <w:kern w:val="0"/>
          <w:sz w:val="18"/>
          <w:szCs w:val="18"/>
          <w:vertAlign w:val="superscript"/>
        </w:rPr>
        <w:t>1</w:t>
      </w:r>
      <w:r>
        <w:rPr>
          <w:rFonts w:hint="eastAsia" w:ascii="仿宋_GB2312" w:hAnsi="等线" w:eastAsia="仿宋_GB2312" w:cs="宋体"/>
          <w:bCs/>
          <w:color w:val="000000"/>
          <w:kern w:val="0"/>
          <w:sz w:val="18"/>
          <w:szCs w:val="18"/>
        </w:rPr>
        <w:t>注：报告期发行理财产品金额为</w:t>
      </w:r>
      <w:r>
        <w:rPr>
          <w:rFonts w:ascii="仿宋_GB2312" w:hAnsi="等线" w:eastAsia="仿宋_GB2312" w:cs="宋体"/>
          <w:bCs/>
          <w:color w:val="000000"/>
          <w:kern w:val="0"/>
          <w:sz w:val="18"/>
          <w:szCs w:val="18"/>
        </w:rPr>
        <w:t>各类理财产品首次发行的募集总额与开放式理财产品开放期间的认申购总额。</w:t>
      </w:r>
    </w:p>
    <w:p w14:paraId="2F60A4D5">
      <w:pPr>
        <w:widowControl/>
        <w:rPr>
          <w:rFonts w:ascii="仿宋_GB2312" w:hAnsi="等线" w:eastAsia="仿宋_GB2312" w:cs="宋体"/>
          <w:bCs/>
          <w:color w:val="000000"/>
          <w:kern w:val="0"/>
          <w:sz w:val="18"/>
          <w:szCs w:val="18"/>
        </w:rPr>
      </w:pPr>
      <w:r>
        <w:rPr>
          <w:rFonts w:hint="eastAsia" w:ascii="仿宋_GB2312" w:hAnsi="等线" w:eastAsia="仿宋_GB2312" w:cs="宋体"/>
          <w:bCs/>
          <w:color w:val="000000"/>
          <w:kern w:val="0"/>
          <w:sz w:val="18"/>
          <w:szCs w:val="18"/>
          <w:vertAlign w:val="superscript"/>
        </w:rPr>
        <w:t>2</w:t>
      </w:r>
      <w:r>
        <w:rPr>
          <w:rFonts w:hint="eastAsia" w:ascii="仿宋_GB2312" w:hAnsi="等线" w:eastAsia="仿宋_GB2312" w:cs="宋体"/>
          <w:bCs/>
          <w:color w:val="000000"/>
          <w:kern w:val="0"/>
          <w:sz w:val="18"/>
          <w:szCs w:val="18"/>
        </w:rPr>
        <w:t>注：报告期内到期理财产品金额为报告期内到期产品的兑付金额。</w:t>
      </w:r>
    </w:p>
    <w:p w14:paraId="0D6EDEBE">
      <w:pPr>
        <w:pStyle w:val="10"/>
        <w:numPr>
          <w:ilvl w:val="0"/>
          <w:numId w:val="1"/>
        </w:numPr>
        <w:ind w:firstLineChars="0"/>
        <w:rPr>
          <w:rFonts w:ascii="楷体" w:hAnsi="楷体" w:eastAsia="楷体" w:cs="楷体"/>
          <w:color w:val="000000"/>
          <w:sz w:val="28"/>
          <w:szCs w:val="28"/>
        </w:rPr>
      </w:pPr>
      <w:r>
        <w:rPr>
          <w:rFonts w:ascii="仿宋_GB2312" w:hAnsi="仿宋_GB2312" w:eastAsia="仿宋_GB2312" w:cs="仿宋_GB2312"/>
          <w:b/>
          <w:bCs/>
          <w:sz w:val="28"/>
          <w:szCs w:val="28"/>
        </w:rPr>
        <w:t>报告期末存续理财情况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660"/>
        <w:gridCol w:w="1418"/>
        <w:gridCol w:w="1184"/>
      </w:tblGrid>
      <w:tr w14:paraId="4C7C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3BA252AF">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产品类别</w:t>
            </w:r>
          </w:p>
        </w:tc>
        <w:tc>
          <w:tcPr>
            <w:tcW w:w="1420" w:type="dxa"/>
            <w:vAlign w:val="center"/>
          </w:tcPr>
          <w:p w14:paraId="456DEEBD">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报告期末存续数量（只）</w:t>
            </w:r>
          </w:p>
        </w:tc>
        <w:tc>
          <w:tcPr>
            <w:tcW w:w="1660" w:type="dxa"/>
            <w:vAlign w:val="center"/>
          </w:tcPr>
          <w:p w14:paraId="73E43AD0">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报告期末存续金额（亿元）</w:t>
            </w:r>
          </w:p>
        </w:tc>
        <w:tc>
          <w:tcPr>
            <w:tcW w:w="1418" w:type="dxa"/>
            <w:vAlign w:val="center"/>
          </w:tcPr>
          <w:p w14:paraId="28E01021">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报告期末存续金额占比</w:t>
            </w:r>
          </w:p>
        </w:tc>
        <w:tc>
          <w:tcPr>
            <w:tcW w:w="1184" w:type="dxa"/>
            <w:vAlign w:val="center"/>
          </w:tcPr>
          <w:p w14:paraId="6CE9176E">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较期初占比变化</w:t>
            </w:r>
          </w:p>
        </w:tc>
      </w:tr>
      <w:tr w14:paraId="50C4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14:paraId="28745706">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按募集方式</w:t>
            </w:r>
          </w:p>
        </w:tc>
        <w:tc>
          <w:tcPr>
            <w:tcW w:w="1420" w:type="dxa"/>
            <w:vAlign w:val="center"/>
          </w:tcPr>
          <w:p w14:paraId="33D5B94F">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公募</w:t>
            </w:r>
          </w:p>
        </w:tc>
        <w:tc>
          <w:tcPr>
            <w:tcW w:w="1420" w:type="dxa"/>
            <w:vAlign w:val="center"/>
          </w:tcPr>
          <w:p w14:paraId="6616023C">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80</w:t>
            </w:r>
          </w:p>
        </w:tc>
        <w:tc>
          <w:tcPr>
            <w:tcW w:w="1660" w:type="dxa"/>
            <w:vAlign w:val="center"/>
          </w:tcPr>
          <w:p w14:paraId="528F044D">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146.43</w:t>
            </w:r>
          </w:p>
        </w:tc>
        <w:tc>
          <w:tcPr>
            <w:tcW w:w="1418" w:type="dxa"/>
            <w:vAlign w:val="center"/>
          </w:tcPr>
          <w:p w14:paraId="624E4CF9">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9</w:t>
            </w:r>
            <w:r>
              <w:rPr>
                <w:rFonts w:hint="eastAsia" w:ascii="仿宋_GB2312" w:hAnsi="等线" w:eastAsia="仿宋_GB2312" w:cs="宋体"/>
                <w:bCs/>
                <w:color w:val="000000"/>
                <w:kern w:val="0"/>
                <w:sz w:val="22"/>
                <w:highlight w:val="none"/>
                <w:lang w:val="en-US" w:eastAsia="zh-CN"/>
              </w:rPr>
              <w:t>7.65</w:t>
            </w:r>
            <w:r>
              <w:rPr>
                <w:rFonts w:hint="eastAsia" w:ascii="仿宋_GB2312" w:hAnsi="等线" w:eastAsia="仿宋_GB2312" w:cs="宋体"/>
                <w:bCs/>
                <w:color w:val="000000"/>
                <w:kern w:val="0"/>
                <w:sz w:val="22"/>
                <w:highlight w:val="none"/>
              </w:rPr>
              <w:t>%</w:t>
            </w:r>
          </w:p>
        </w:tc>
        <w:tc>
          <w:tcPr>
            <w:tcW w:w="1184" w:type="dxa"/>
            <w:vAlign w:val="center"/>
          </w:tcPr>
          <w:p w14:paraId="264CC48D">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lang w:val="en-US" w:eastAsia="zh-CN"/>
              </w:rPr>
              <w:t>-2.18</w:t>
            </w:r>
            <w:r>
              <w:rPr>
                <w:rFonts w:hint="eastAsia" w:ascii="仿宋_GB2312" w:hAnsi="等线" w:eastAsia="仿宋_GB2312" w:cs="宋体"/>
                <w:bCs/>
                <w:color w:val="000000"/>
                <w:kern w:val="0"/>
                <w:sz w:val="22"/>
                <w:highlight w:val="none"/>
              </w:rPr>
              <w:t>%</w:t>
            </w:r>
          </w:p>
        </w:tc>
      </w:tr>
      <w:tr w14:paraId="38A5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72212E24">
            <w:pPr>
              <w:widowControl/>
              <w:jc w:val="center"/>
              <w:rPr>
                <w:rFonts w:ascii="仿宋_GB2312" w:hAnsi="等线" w:eastAsia="仿宋_GB2312" w:cs="宋体"/>
                <w:bCs/>
                <w:color w:val="000000"/>
                <w:kern w:val="0"/>
                <w:sz w:val="22"/>
              </w:rPr>
            </w:pPr>
          </w:p>
        </w:tc>
        <w:tc>
          <w:tcPr>
            <w:tcW w:w="1420" w:type="dxa"/>
            <w:vAlign w:val="center"/>
          </w:tcPr>
          <w:p w14:paraId="5CC34A25">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私募</w:t>
            </w:r>
          </w:p>
        </w:tc>
        <w:tc>
          <w:tcPr>
            <w:tcW w:w="1420" w:type="dxa"/>
            <w:vAlign w:val="center"/>
          </w:tcPr>
          <w:p w14:paraId="62D9F41C">
            <w:pPr>
              <w:widowControl/>
              <w:jc w:val="center"/>
              <w:rPr>
                <w:rFonts w:hint="eastAsia"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3</w:t>
            </w:r>
          </w:p>
        </w:tc>
        <w:tc>
          <w:tcPr>
            <w:tcW w:w="1660" w:type="dxa"/>
            <w:vAlign w:val="center"/>
          </w:tcPr>
          <w:p w14:paraId="68A5DCC9">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3.53</w:t>
            </w:r>
          </w:p>
        </w:tc>
        <w:tc>
          <w:tcPr>
            <w:tcW w:w="1418" w:type="dxa"/>
            <w:vAlign w:val="center"/>
          </w:tcPr>
          <w:p w14:paraId="1D4DDA14">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lang w:val="en-US" w:eastAsia="zh-CN"/>
              </w:rPr>
              <w:t>2.35</w:t>
            </w:r>
            <w:r>
              <w:rPr>
                <w:rFonts w:hint="eastAsia" w:ascii="仿宋_GB2312" w:hAnsi="等线" w:eastAsia="仿宋_GB2312" w:cs="宋体"/>
                <w:bCs/>
                <w:color w:val="000000"/>
                <w:kern w:val="0"/>
                <w:sz w:val="22"/>
                <w:highlight w:val="none"/>
              </w:rPr>
              <w:t>%</w:t>
            </w:r>
          </w:p>
        </w:tc>
        <w:tc>
          <w:tcPr>
            <w:tcW w:w="1184" w:type="dxa"/>
            <w:vAlign w:val="center"/>
          </w:tcPr>
          <w:p w14:paraId="3A0F6D66">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lang w:val="en-US" w:eastAsia="zh-CN"/>
              </w:rPr>
              <w:t>+2.18</w:t>
            </w:r>
            <w:r>
              <w:rPr>
                <w:rFonts w:hint="eastAsia" w:ascii="仿宋_GB2312" w:hAnsi="等线" w:eastAsia="仿宋_GB2312" w:cs="宋体"/>
                <w:bCs/>
                <w:color w:val="000000"/>
                <w:kern w:val="0"/>
                <w:sz w:val="22"/>
                <w:highlight w:val="none"/>
              </w:rPr>
              <w:t>%</w:t>
            </w:r>
          </w:p>
        </w:tc>
      </w:tr>
      <w:tr w14:paraId="4A7D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412B9195">
            <w:pPr>
              <w:widowControl/>
              <w:jc w:val="center"/>
              <w:rPr>
                <w:rFonts w:ascii="仿宋_GB2312" w:hAnsi="等线" w:eastAsia="仿宋_GB2312" w:cs="宋体"/>
                <w:bCs/>
                <w:color w:val="000000"/>
                <w:kern w:val="0"/>
                <w:sz w:val="22"/>
              </w:rPr>
            </w:pPr>
          </w:p>
        </w:tc>
        <w:tc>
          <w:tcPr>
            <w:tcW w:w="1420" w:type="dxa"/>
            <w:vAlign w:val="center"/>
          </w:tcPr>
          <w:p w14:paraId="048C4426">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合计</w:t>
            </w:r>
          </w:p>
        </w:tc>
        <w:tc>
          <w:tcPr>
            <w:tcW w:w="1420" w:type="dxa"/>
            <w:vAlign w:val="center"/>
          </w:tcPr>
          <w:p w14:paraId="7DAD0F81">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83</w:t>
            </w:r>
          </w:p>
        </w:tc>
        <w:tc>
          <w:tcPr>
            <w:tcW w:w="1660" w:type="dxa"/>
            <w:vAlign w:val="center"/>
          </w:tcPr>
          <w:p w14:paraId="7F8BA476">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149.96</w:t>
            </w:r>
          </w:p>
        </w:tc>
        <w:tc>
          <w:tcPr>
            <w:tcW w:w="1418" w:type="dxa"/>
            <w:vAlign w:val="center"/>
          </w:tcPr>
          <w:p w14:paraId="6FDC404F">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100%</w:t>
            </w:r>
          </w:p>
        </w:tc>
        <w:tc>
          <w:tcPr>
            <w:tcW w:w="1184" w:type="dxa"/>
            <w:vAlign w:val="center"/>
          </w:tcPr>
          <w:p w14:paraId="32BF50BB">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r>
      <w:tr w14:paraId="778B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14:paraId="4BA2C58C">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按投资性质</w:t>
            </w:r>
          </w:p>
        </w:tc>
        <w:tc>
          <w:tcPr>
            <w:tcW w:w="1420" w:type="dxa"/>
            <w:vAlign w:val="center"/>
          </w:tcPr>
          <w:p w14:paraId="14C88F0D">
            <w:pPr>
              <w:widowControl/>
              <w:jc w:val="center"/>
              <w:rPr>
                <w:rFonts w:ascii="仿宋_GB2312" w:hAnsi="等线" w:eastAsia="仿宋_GB2312" w:cs="宋体"/>
                <w:bCs/>
                <w:color w:val="000000"/>
                <w:kern w:val="0"/>
                <w:sz w:val="22"/>
              </w:rPr>
            </w:pPr>
            <w:r>
              <w:rPr>
                <w:rFonts w:hint="eastAsia" w:ascii="仿宋_GB2312" w:hAnsi="等线" w:eastAsia="仿宋_GB2312" w:cs="宋体"/>
                <w:bCs/>
                <w:color w:val="000000"/>
                <w:kern w:val="0"/>
                <w:sz w:val="22"/>
              </w:rPr>
              <w:t>固定收益</w:t>
            </w:r>
            <w:r>
              <w:rPr>
                <w:rFonts w:ascii="仿宋_GB2312" w:hAnsi="等线" w:eastAsia="仿宋_GB2312" w:cs="宋体"/>
                <w:bCs/>
                <w:color w:val="000000"/>
                <w:kern w:val="0"/>
                <w:sz w:val="22"/>
              </w:rPr>
              <w:t>类</w:t>
            </w:r>
          </w:p>
        </w:tc>
        <w:tc>
          <w:tcPr>
            <w:tcW w:w="1420" w:type="dxa"/>
            <w:vAlign w:val="center"/>
          </w:tcPr>
          <w:p w14:paraId="5FD69C59">
            <w:pPr>
              <w:widowControl/>
              <w:jc w:val="center"/>
              <w:rPr>
                <w:rFonts w:hint="default" w:ascii="仿宋_GB2312" w:hAnsi="等线" w:eastAsia="仿宋_GB2312" w:cs="宋体"/>
                <w:bCs/>
                <w:color w:val="000000"/>
                <w:kern w:val="0"/>
                <w:sz w:val="22"/>
                <w:highlight w:val="none"/>
                <w:lang w:val="en-US"/>
              </w:rPr>
            </w:pPr>
            <w:r>
              <w:rPr>
                <w:rFonts w:hint="eastAsia" w:ascii="仿宋_GB2312" w:hAnsi="等线" w:eastAsia="仿宋_GB2312" w:cs="宋体"/>
                <w:bCs/>
                <w:color w:val="000000"/>
                <w:kern w:val="0"/>
                <w:sz w:val="22"/>
                <w:highlight w:val="none"/>
                <w:lang w:val="en-US" w:eastAsia="zh-CN"/>
              </w:rPr>
              <w:t>83</w:t>
            </w:r>
          </w:p>
        </w:tc>
        <w:tc>
          <w:tcPr>
            <w:tcW w:w="1660" w:type="dxa"/>
            <w:vAlign w:val="center"/>
          </w:tcPr>
          <w:p w14:paraId="533F803C">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lang w:val="en-US" w:eastAsia="zh-CN"/>
              </w:rPr>
              <w:t>149.96</w:t>
            </w:r>
          </w:p>
        </w:tc>
        <w:tc>
          <w:tcPr>
            <w:tcW w:w="1418" w:type="dxa"/>
            <w:vAlign w:val="center"/>
          </w:tcPr>
          <w:p w14:paraId="75A67684">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100%</w:t>
            </w:r>
          </w:p>
        </w:tc>
        <w:tc>
          <w:tcPr>
            <w:tcW w:w="1184" w:type="dxa"/>
            <w:vAlign w:val="center"/>
          </w:tcPr>
          <w:p w14:paraId="73FD1E49">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0%</w:t>
            </w:r>
          </w:p>
        </w:tc>
      </w:tr>
      <w:tr w14:paraId="740C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098656FC">
            <w:pPr>
              <w:widowControl/>
              <w:jc w:val="center"/>
              <w:rPr>
                <w:rFonts w:ascii="仿宋_GB2312" w:hAnsi="等线" w:eastAsia="仿宋_GB2312" w:cs="宋体"/>
                <w:bCs/>
                <w:color w:val="000000"/>
                <w:kern w:val="0"/>
                <w:sz w:val="22"/>
              </w:rPr>
            </w:pPr>
          </w:p>
        </w:tc>
        <w:tc>
          <w:tcPr>
            <w:tcW w:w="1420" w:type="dxa"/>
            <w:vAlign w:val="center"/>
          </w:tcPr>
          <w:p w14:paraId="7E5CA683">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权益类</w:t>
            </w:r>
          </w:p>
        </w:tc>
        <w:tc>
          <w:tcPr>
            <w:tcW w:w="1420" w:type="dxa"/>
            <w:vAlign w:val="center"/>
          </w:tcPr>
          <w:p w14:paraId="63274629">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c>
          <w:tcPr>
            <w:tcW w:w="1660" w:type="dxa"/>
            <w:vAlign w:val="center"/>
          </w:tcPr>
          <w:p w14:paraId="0310AB41">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c>
          <w:tcPr>
            <w:tcW w:w="1418" w:type="dxa"/>
            <w:vAlign w:val="center"/>
          </w:tcPr>
          <w:p w14:paraId="1E8FEDAF">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c>
          <w:tcPr>
            <w:tcW w:w="1184" w:type="dxa"/>
            <w:vAlign w:val="center"/>
          </w:tcPr>
          <w:p w14:paraId="3D03C25C">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r>
      <w:tr w14:paraId="4C40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5914AC73">
            <w:pPr>
              <w:widowControl/>
              <w:jc w:val="center"/>
              <w:rPr>
                <w:rFonts w:ascii="仿宋_GB2312" w:hAnsi="等线" w:eastAsia="仿宋_GB2312" w:cs="宋体"/>
                <w:bCs/>
                <w:color w:val="000000"/>
                <w:kern w:val="0"/>
                <w:sz w:val="22"/>
              </w:rPr>
            </w:pPr>
          </w:p>
        </w:tc>
        <w:tc>
          <w:tcPr>
            <w:tcW w:w="1420" w:type="dxa"/>
            <w:vAlign w:val="center"/>
          </w:tcPr>
          <w:p w14:paraId="247D365E">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商品及金融衍生品类</w:t>
            </w:r>
          </w:p>
        </w:tc>
        <w:tc>
          <w:tcPr>
            <w:tcW w:w="1420" w:type="dxa"/>
            <w:vAlign w:val="center"/>
          </w:tcPr>
          <w:p w14:paraId="27D4FF5F">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c>
          <w:tcPr>
            <w:tcW w:w="1660" w:type="dxa"/>
            <w:vAlign w:val="center"/>
          </w:tcPr>
          <w:p w14:paraId="568BB56C">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c>
          <w:tcPr>
            <w:tcW w:w="1418" w:type="dxa"/>
            <w:vAlign w:val="center"/>
          </w:tcPr>
          <w:p w14:paraId="6E6E6F34">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c>
          <w:tcPr>
            <w:tcW w:w="1184" w:type="dxa"/>
            <w:vAlign w:val="center"/>
          </w:tcPr>
          <w:p w14:paraId="12AC3F74">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r>
      <w:tr w14:paraId="6FEA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33CEFCDB">
            <w:pPr>
              <w:widowControl/>
              <w:jc w:val="center"/>
              <w:rPr>
                <w:rFonts w:ascii="仿宋_GB2312" w:hAnsi="等线" w:eastAsia="仿宋_GB2312" w:cs="宋体"/>
                <w:bCs/>
                <w:color w:val="000000"/>
                <w:kern w:val="0"/>
                <w:sz w:val="22"/>
              </w:rPr>
            </w:pPr>
          </w:p>
        </w:tc>
        <w:tc>
          <w:tcPr>
            <w:tcW w:w="1420" w:type="dxa"/>
            <w:vAlign w:val="center"/>
          </w:tcPr>
          <w:p w14:paraId="331350EB">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混合类</w:t>
            </w:r>
          </w:p>
        </w:tc>
        <w:tc>
          <w:tcPr>
            <w:tcW w:w="1420" w:type="dxa"/>
            <w:vAlign w:val="center"/>
          </w:tcPr>
          <w:p w14:paraId="0BD2A5AB">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c>
          <w:tcPr>
            <w:tcW w:w="1660" w:type="dxa"/>
            <w:vAlign w:val="center"/>
          </w:tcPr>
          <w:p w14:paraId="70821CEF">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c>
          <w:tcPr>
            <w:tcW w:w="1418" w:type="dxa"/>
            <w:vAlign w:val="center"/>
          </w:tcPr>
          <w:p w14:paraId="58CEF954">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c>
          <w:tcPr>
            <w:tcW w:w="1184" w:type="dxa"/>
            <w:vAlign w:val="center"/>
          </w:tcPr>
          <w:p w14:paraId="703B11AB">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r>
      <w:tr w14:paraId="32A8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14:paraId="68C8D371">
            <w:pPr>
              <w:widowControl/>
              <w:jc w:val="center"/>
              <w:rPr>
                <w:rFonts w:ascii="仿宋_GB2312" w:hAnsi="等线" w:eastAsia="仿宋_GB2312" w:cs="宋体"/>
                <w:bCs/>
                <w:color w:val="000000"/>
                <w:kern w:val="0"/>
                <w:sz w:val="22"/>
              </w:rPr>
            </w:pPr>
          </w:p>
        </w:tc>
        <w:tc>
          <w:tcPr>
            <w:tcW w:w="1420" w:type="dxa"/>
            <w:vAlign w:val="center"/>
          </w:tcPr>
          <w:p w14:paraId="49EA4807">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合计</w:t>
            </w:r>
          </w:p>
        </w:tc>
        <w:tc>
          <w:tcPr>
            <w:tcW w:w="1420" w:type="dxa"/>
            <w:vAlign w:val="center"/>
          </w:tcPr>
          <w:p w14:paraId="244A8F49">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83</w:t>
            </w:r>
          </w:p>
        </w:tc>
        <w:tc>
          <w:tcPr>
            <w:tcW w:w="1660" w:type="dxa"/>
            <w:vAlign w:val="center"/>
          </w:tcPr>
          <w:p w14:paraId="7C1CC9FD">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lang w:val="en-US" w:eastAsia="zh-CN"/>
              </w:rPr>
              <w:t>149.96</w:t>
            </w:r>
          </w:p>
        </w:tc>
        <w:tc>
          <w:tcPr>
            <w:tcW w:w="1418" w:type="dxa"/>
            <w:vAlign w:val="center"/>
          </w:tcPr>
          <w:p w14:paraId="15307EE6">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100%</w:t>
            </w:r>
          </w:p>
        </w:tc>
        <w:tc>
          <w:tcPr>
            <w:tcW w:w="1184" w:type="dxa"/>
            <w:vAlign w:val="center"/>
          </w:tcPr>
          <w:p w14:paraId="7B1BB81D">
            <w:pPr>
              <w:widowControl/>
              <w:jc w:val="center"/>
              <w:rPr>
                <w:rFonts w:ascii="仿宋_GB2312" w:hAnsi="等线" w:eastAsia="仿宋_GB2312" w:cs="宋体"/>
                <w:bCs/>
                <w:color w:val="000000"/>
                <w:kern w:val="0"/>
                <w:sz w:val="22"/>
                <w:highlight w:val="none"/>
              </w:rPr>
            </w:pPr>
            <w:r>
              <w:rPr>
                <w:rFonts w:hint="eastAsia" w:ascii="仿宋_GB2312" w:hAnsi="等线" w:eastAsia="仿宋_GB2312" w:cs="宋体"/>
                <w:bCs/>
                <w:color w:val="000000"/>
                <w:kern w:val="0"/>
                <w:sz w:val="22"/>
                <w:highlight w:val="none"/>
              </w:rPr>
              <w:t>-</w:t>
            </w:r>
          </w:p>
        </w:tc>
      </w:tr>
    </w:tbl>
    <w:p w14:paraId="49AD547F">
      <w:pPr>
        <w:pStyle w:val="10"/>
        <w:numPr>
          <w:ilvl w:val="0"/>
          <w:numId w:val="1"/>
        </w:numPr>
        <w:ind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报告期末存续产品直接和间接投资情况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521"/>
        <w:gridCol w:w="1134"/>
        <w:gridCol w:w="1417"/>
        <w:gridCol w:w="1560"/>
      </w:tblGrid>
      <w:tr w14:paraId="2E12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D630BBA">
            <w:pPr>
              <w:widowControl/>
              <w:jc w:val="center"/>
              <w:rPr>
                <w:rFonts w:ascii="仿宋_GB2312" w:hAnsi="等线" w:eastAsia="仿宋_GB2312" w:cs="宋体"/>
                <w:b/>
                <w:bCs/>
                <w:color w:val="000000"/>
                <w:kern w:val="0"/>
                <w:sz w:val="22"/>
              </w:rPr>
            </w:pPr>
            <w:r>
              <w:rPr>
                <w:rFonts w:hint="eastAsia" w:ascii="仿宋_GB2312" w:hAnsi="等线" w:eastAsia="仿宋_GB2312" w:cs="宋体"/>
                <w:b/>
                <w:bCs/>
                <w:color w:val="000000"/>
                <w:kern w:val="0"/>
                <w:sz w:val="22"/>
              </w:rPr>
              <w:t>资产种类</w:t>
            </w:r>
          </w:p>
        </w:tc>
        <w:tc>
          <w:tcPr>
            <w:tcW w:w="1521" w:type="dxa"/>
            <w:vAlign w:val="center"/>
          </w:tcPr>
          <w:p w14:paraId="29D213C9">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穿透前金额</w:t>
            </w:r>
            <w:r>
              <w:rPr>
                <w:rFonts w:hint="eastAsia" w:ascii="仿宋_GB2312" w:hAnsi="等线" w:eastAsia="仿宋_GB2312" w:cs="宋体"/>
                <w:b/>
                <w:bCs/>
                <w:color w:val="000000"/>
                <w:kern w:val="0"/>
                <w:sz w:val="22"/>
              </w:rPr>
              <w:t>（亿元）</w:t>
            </w:r>
          </w:p>
        </w:tc>
        <w:tc>
          <w:tcPr>
            <w:tcW w:w="1134" w:type="dxa"/>
            <w:vAlign w:val="center"/>
          </w:tcPr>
          <w:p w14:paraId="121F996B">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占比</w:t>
            </w:r>
          </w:p>
        </w:tc>
        <w:tc>
          <w:tcPr>
            <w:tcW w:w="1417" w:type="dxa"/>
            <w:vAlign w:val="center"/>
          </w:tcPr>
          <w:p w14:paraId="5AA603A4">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穿透后金额</w:t>
            </w:r>
            <w:r>
              <w:rPr>
                <w:rFonts w:hint="eastAsia" w:ascii="仿宋_GB2312" w:hAnsi="等线" w:eastAsia="仿宋_GB2312" w:cs="宋体"/>
                <w:b/>
                <w:bCs/>
                <w:color w:val="000000"/>
                <w:kern w:val="0"/>
                <w:sz w:val="22"/>
              </w:rPr>
              <w:t>（亿元）</w:t>
            </w:r>
          </w:p>
        </w:tc>
        <w:tc>
          <w:tcPr>
            <w:tcW w:w="1560" w:type="dxa"/>
            <w:vAlign w:val="center"/>
          </w:tcPr>
          <w:p w14:paraId="514FB5BA">
            <w:pPr>
              <w:widowControl/>
              <w:jc w:val="center"/>
              <w:rPr>
                <w:rFonts w:ascii="仿宋_GB2312" w:hAnsi="等线" w:eastAsia="仿宋_GB2312" w:cs="宋体"/>
                <w:b/>
                <w:bCs/>
                <w:color w:val="000000"/>
                <w:kern w:val="0"/>
                <w:sz w:val="22"/>
              </w:rPr>
            </w:pPr>
            <w:r>
              <w:rPr>
                <w:rFonts w:ascii="仿宋_GB2312" w:hAnsi="等线" w:eastAsia="仿宋_GB2312" w:cs="宋体"/>
                <w:b/>
                <w:bCs/>
                <w:color w:val="000000"/>
                <w:kern w:val="0"/>
                <w:sz w:val="22"/>
              </w:rPr>
              <w:t>占比</w:t>
            </w:r>
          </w:p>
        </w:tc>
      </w:tr>
      <w:tr w14:paraId="161A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2E11C24">
            <w:pPr>
              <w:widowControl/>
              <w:jc w:val="center"/>
              <w:rPr>
                <w:rFonts w:ascii="仿宋_GB2312" w:hAnsi="等线" w:eastAsia="仿宋_GB2312" w:cs="宋体"/>
                <w:bCs/>
                <w:color w:val="000000"/>
                <w:kern w:val="0"/>
                <w:sz w:val="22"/>
              </w:rPr>
            </w:pPr>
            <w:r>
              <w:rPr>
                <w:rFonts w:hint="eastAsia" w:ascii="仿宋_GB2312" w:hAnsi="等线" w:eastAsia="仿宋_GB2312" w:cs="宋体"/>
                <w:bCs/>
                <w:color w:val="000000"/>
                <w:kern w:val="0"/>
                <w:sz w:val="22"/>
              </w:rPr>
              <w:t>现金及银行存款</w:t>
            </w:r>
          </w:p>
        </w:tc>
        <w:tc>
          <w:tcPr>
            <w:tcW w:w="1521" w:type="dxa"/>
            <w:vAlign w:val="top"/>
          </w:tcPr>
          <w:p w14:paraId="068A55FB">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0.51</w:t>
            </w:r>
          </w:p>
        </w:tc>
        <w:tc>
          <w:tcPr>
            <w:tcW w:w="1134" w:type="dxa"/>
            <w:vAlign w:val="top"/>
          </w:tcPr>
          <w:p w14:paraId="7461C820">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0.34%</w:t>
            </w:r>
          </w:p>
        </w:tc>
        <w:tc>
          <w:tcPr>
            <w:tcW w:w="1417" w:type="dxa"/>
            <w:vAlign w:val="top"/>
          </w:tcPr>
          <w:p w14:paraId="1DB1DED7">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10.33</w:t>
            </w:r>
          </w:p>
        </w:tc>
        <w:tc>
          <w:tcPr>
            <w:tcW w:w="1560" w:type="dxa"/>
            <w:vAlign w:val="top"/>
          </w:tcPr>
          <w:p w14:paraId="487E5D92">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6.66%</w:t>
            </w:r>
          </w:p>
        </w:tc>
      </w:tr>
      <w:tr w14:paraId="3A0C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C1B61BA">
            <w:pPr>
              <w:widowControl/>
              <w:jc w:val="center"/>
              <w:rPr>
                <w:rFonts w:ascii="仿宋_GB2312" w:hAnsi="等线" w:eastAsia="仿宋_GB2312" w:cs="宋体"/>
                <w:bCs/>
                <w:color w:val="000000"/>
                <w:kern w:val="0"/>
                <w:sz w:val="22"/>
              </w:rPr>
            </w:pPr>
            <w:r>
              <w:rPr>
                <w:rFonts w:hint="eastAsia" w:ascii="仿宋_GB2312" w:hAnsi="等线" w:eastAsia="仿宋_GB2312" w:cs="宋体"/>
                <w:bCs/>
                <w:color w:val="000000"/>
                <w:kern w:val="0"/>
                <w:sz w:val="22"/>
              </w:rPr>
              <w:t>同业存单</w:t>
            </w:r>
          </w:p>
        </w:tc>
        <w:tc>
          <w:tcPr>
            <w:tcW w:w="1521" w:type="dxa"/>
            <w:vAlign w:val="top"/>
          </w:tcPr>
          <w:p w14:paraId="56A33107">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4.08</w:t>
            </w:r>
          </w:p>
        </w:tc>
        <w:tc>
          <w:tcPr>
            <w:tcW w:w="1134" w:type="dxa"/>
            <w:vAlign w:val="top"/>
          </w:tcPr>
          <w:p w14:paraId="73440485">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2.68%</w:t>
            </w:r>
          </w:p>
        </w:tc>
        <w:tc>
          <w:tcPr>
            <w:tcW w:w="1417" w:type="dxa"/>
            <w:vAlign w:val="top"/>
          </w:tcPr>
          <w:p w14:paraId="738CC9FB">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5.39</w:t>
            </w:r>
          </w:p>
        </w:tc>
        <w:tc>
          <w:tcPr>
            <w:tcW w:w="1560" w:type="dxa"/>
            <w:vAlign w:val="top"/>
          </w:tcPr>
          <w:p w14:paraId="291CF70A">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3.48%</w:t>
            </w:r>
          </w:p>
        </w:tc>
      </w:tr>
      <w:tr w14:paraId="44F4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74403D8">
            <w:pPr>
              <w:widowControl/>
              <w:jc w:val="center"/>
              <w:rPr>
                <w:rFonts w:ascii="仿宋_GB2312" w:hAnsi="等线" w:eastAsia="仿宋_GB2312" w:cs="宋体"/>
                <w:bCs/>
                <w:color w:val="000000"/>
                <w:kern w:val="0"/>
                <w:sz w:val="22"/>
              </w:rPr>
            </w:pPr>
            <w:r>
              <w:rPr>
                <w:rFonts w:hint="eastAsia" w:ascii="仿宋_GB2312" w:hAnsi="等线" w:eastAsia="仿宋_GB2312" w:cs="宋体"/>
                <w:bCs/>
                <w:color w:val="000000"/>
                <w:kern w:val="0"/>
                <w:sz w:val="22"/>
              </w:rPr>
              <w:t>拆放同业及债券买入返售</w:t>
            </w:r>
          </w:p>
        </w:tc>
        <w:tc>
          <w:tcPr>
            <w:tcW w:w="1521" w:type="dxa"/>
            <w:vAlign w:val="top"/>
          </w:tcPr>
          <w:p w14:paraId="3D14CD25">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5.31</w:t>
            </w:r>
          </w:p>
        </w:tc>
        <w:tc>
          <w:tcPr>
            <w:tcW w:w="1134" w:type="dxa"/>
            <w:vAlign w:val="top"/>
          </w:tcPr>
          <w:p w14:paraId="36FDA381">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3.48%</w:t>
            </w:r>
          </w:p>
        </w:tc>
        <w:tc>
          <w:tcPr>
            <w:tcW w:w="1417" w:type="dxa"/>
            <w:vAlign w:val="top"/>
          </w:tcPr>
          <w:p w14:paraId="7E5D6041">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10.6</w:t>
            </w:r>
          </w:p>
        </w:tc>
        <w:tc>
          <w:tcPr>
            <w:tcW w:w="1560" w:type="dxa"/>
            <w:vAlign w:val="top"/>
          </w:tcPr>
          <w:p w14:paraId="20B6C11C">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6.84%</w:t>
            </w:r>
          </w:p>
        </w:tc>
      </w:tr>
      <w:tr w14:paraId="512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80F5629">
            <w:pPr>
              <w:widowControl/>
              <w:jc w:val="center"/>
              <w:rPr>
                <w:rFonts w:ascii="仿宋_GB2312" w:hAnsi="等线" w:eastAsia="仿宋_GB2312" w:cs="宋体"/>
                <w:bCs/>
                <w:color w:val="000000"/>
                <w:kern w:val="0"/>
                <w:sz w:val="22"/>
              </w:rPr>
            </w:pPr>
            <w:r>
              <w:rPr>
                <w:rFonts w:hint="eastAsia" w:ascii="仿宋_GB2312" w:hAnsi="等线" w:eastAsia="仿宋_GB2312" w:cs="宋体"/>
                <w:bCs/>
                <w:color w:val="000000"/>
                <w:kern w:val="0"/>
                <w:sz w:val="22"/>
              </w:rPr>
              <w:t>债券</w:t>
            </w:r>
          </w:p>
        </w:tc>
        <w:tc>
          <w:tcPr>
            <w:tcW w:w="1521" w:type="dxa"/>
            <w:vAlign w:val="top"/>
          </w:tcPr>
          <w:p w14:paraId="6E6FEE83">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67.93</w:t>
            </w:r>
          </w:p>
        </w:tc>
        <w:tc>
          <w:tcPr>
            <w:tcW w:w="1134" w:type="dxa"/>
            <w:vAlign w:val="top"/>
          </w:tcPr>
          <w:p w14:paraId="5F906F16">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44.52%</w:t>
            </w:r>
          </w:p>
        </w:tc>
        <w:tc>
          <w:tcPr>
            <w:tcW w:w="1417" w:type="dxa"/>
            <w:vAlign w:val="top"/>
          </w:tcPr>
          <w:p w14:paraId="5DC65C5D">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120.53</w:t>
            </w:r>
          </w:p>
        </w:tc>
        <w:tc>
          <w:tcPr>
            <w:tcW w:w="1560" w:type="dxa"/>
            <w:vAlign w:val="top"/>
          </w:tcPr>
          <w:p w14:paraId="132BA870">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77.74%</w:t>
            </w:r>
          </w:p>
        </w:tc>
      </w:tr>
      <w:tr w14:paraId="678C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19A4148">
            <w:pPr>
              <w:widowControl/>
              <w:jc w:val="center"/>
              <w:rPr>
                <w:rFonts w:hint="default" w:ascii="仿宋_GB2312" w:hAnsi="等线" w:eastAsia="仿宋_GB2312" w:cs="宋体"/>
                <w:bCs/>
                <w:color w:val="000000"/>
                <w:kern w:val="0"/>
                <w:sz w:val="22"/>
                <w:lang w:val="en-US" w:eastAsia="zh-CN"/>
              </w:rPr>
            </w:pPr>
            <w:r>
              <w:rPr>
                <w:rFonts w:hint="eastAsia" w:ascii="仿宋_GB2312" w:hAnsi="等线" w:eastAsia="仿宋_GB2312" w:cs="宋体"/>
                <w:bCs/>
                <w:color w:val="000000"/>
                <w:kern w:val="0"/>
                <w:sz w:val="22"/>
                <w:lang w:val="en-US" w:eastAsia="zh-CN"/>
              </w:rPr>
              <w:t>非标准化债权类资产</w:t>
            </w:r>
          </w:p>
        </w:tc>
        <w:tc>
          <w:tcPr>
            <w:tcW w:w="1521" w:type="dxa"/>
            <w:vAlign w:val="top"/>
          </w:tcPr>
          <w:p w14:paraId="2F63CED6">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0</w:t>
            </w:r>
          </w:p>
        </w:tc>
        <w:tc>
          <w:tcPr>
            <w:tcW w:w="1134" w:type="dxa"/>
            <w:vAlign w:val="top"/>
          </w:tcPr>
          <w:p w14:paraId="40DF8431">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0.00%</w:t>
            </w:r>
          </w:p>
        </w:tc>
        <w:tc>
          <w:tcPr>
            <w:tcW w:w="1417" w:type="dxa"/>
            <w:vAlign w:val="top"/>
          </w:tcPr>
          <w:p w14:paraId="6A424BCB">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1.5</w:t>
            </w:r>
          </w:p>
        </w:tc>
        <w:tc>
          <w:tcPr>
            <w:tcW w:w="1560" w:type="dxa"/>
            <w:vAlign w:val="top"/>
          </w:tcPr>
          <w:p w14:paraId="4054A3BC">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0.97%</w:t>
            </w:r>
          </w:p>
        </w:tc>
      </w:tr>
      <w:tr w14:paraId="7874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05185CB">
            <w:pPr>
              <w:widowControl/>
              <w:jc w:val="center"/>
              <w:rPr>
                <w:rFonts w:ascii="仿宋_GB2312" w:hAnsi="等线" w:eastAsia="仿宋_GB2312" w:cs="宋体"/>
                <w:bCs/>
                <w:color w:val="000000"/>
                <w:kern w:val="0"/>
                <w:sz w:val="22"/>
              </w:rPr>
            </w:pPr>
            <w:r>
              <w:rPr>
                <w:rFonts w:hint="eastAsia" w:ascii="仿宋_GB2312" w:hAnsi="等线" w:eastAsia="仿宋_GB2312" w:cs="宋体"/>
                <w:bCs/>
                <w:color w:val="000000"/>
                <w:kern w:val="0"/>
                <w:sz w:val="22"/>
              </w:rPr>
              <w:t>公募基金</w:t>
            </w:r>
          </w:p>
        </w:tc>
        <w:tc>
          <w:tcPr>
            <w:tcW w:w="1521" w:type="dxa"/>
            <w:vAlign w:val="top"/>
          </w:tcPr>
          <w:p w14:paraId="742A0FB6">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4.83</w:t>
            </w:r>
          </w:p>
        </w:tc>
        <w:tc>
          <w:tcPr>
            <w:tcW w:w="1134" w:type="dxa"/>
            <w:vAlign w:val="top"/>
          </w:tcPr>
          <w:p w14:paraId="34AFBBBB">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3.16%</w:t>
            </w:r>
          </w:p>
        </w:tc>
        <w:tc>
          <w:tcPr>
            <w:tcW w:w="1417" w:type="dxa"/>
            <w:vAlign w:val="top"/>
          </w:tcPr>
          <w:p w14:paraId="4BE71CFD">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6.69</w:t>
            </w:r>
            <w:bookmarkStart w:id="0" w:name="_GoBack"/>
            <w:bookmarkEnd w:id="0"/>
          </w:p>
        </w:tc>
        <w:tc>
          <w:tcPr>
            <w:tcW w:w="1560" w:type="dxa"/>
            <w:vAlign w:val="top"/>
          </w:tcPr>
          <w:p w14:paraId="61E0B52F">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4.31%</w:t>
            </w:r>
          </w:p>
        </w:tc>
      </w:tr>
      <w:tr w14:paraId="00C9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F228775">
            <w:pPr>
              <w:widowControl/>
              <w:jc w:val="center"/>
              <w:rPr>
                <w:rFonts w:ascii="仿宋_GB2312" w:hAnsi="等线" w:eastAsia="仿宋_GB2312" w:cs="宋体"/>
                <w:bCs/>
                <w:color w:val="000000"/>
                <w:kern w:val="0"/>
                <w:sz w:val="22"/>
              </w:rPr>
            </w:pPr>
            <w:r>
              <w:rPr>
                <w:rFonts w:hint="eastAsia" w:ascii="仿宋_GB2312" w:hAnsi="等线" w:eastAsia="仿宋_GB2312" w:cs="宋体"/>
                <w:bCs/>
                <w:color w:val="000000"/>
                <w:kern w:val="0"/>
                <w:sz w:val="22"/>
              </w:rPr>
              <w:t>资产管理产品</w:t>
            </w:r>
          </w:p>
        </w:tc>
        <w:tc>
          <w:tcPr>
            <w:tcW w:w="1521" w:type="dxa"/>
            <w:vAlign w:val="top"/>
          </w:tcPr>
          <w:p w14:paraId="0DE1EE40">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69.91</w:t>
            </w:r>
          </w:p>
        </w:tc>
        <w:tc>
          <w:tcPr>
            <w:tcW w:w="1134" w:type="dxa"/>
            <w:vAlign w:val="top"/>
          </w:tcPr>
          <w:p w14:paraId="389C368D">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45.82%</w:t>
            </w:r>
          </w:p>
        </w:tc>
        <w:tc>
          <w:tcPr>
            <w:tcW w:w="1417" w:type="dxa"/>
            <w:vAlign w:val="top"/>
          </w:tcPr>
          <w:p w14:paraId="0B919072">
            <w:pPr>
              <w:widowControl/>
              <w:jc w:val="center"/>
              <w:rPr>
                <w:rFonts w:hint="eastAsia"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0</w:t>
            </w:r>
          </w:p>
        </w:tc>
        <w:tc>
          <w:tcPr>
            <w:tcW w:w="1560" w:type="dxa"/>
            <w:vAlign w:val="top"/>
          </w:tcPr>
          <w:p w14:paraId="0E00E180">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0.00%</w:t>
            </w:r>
          </w:p>
        </w:tc>
      </w:tr>
      <w:tr w14:paraId="18C2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22334DE">
            <w:pPr>
              <w:widowControl/>
              <w:jc w:val="center"/>
              <w:rPr>
                <w:rFonts w:ascii="仿宋_GB2312" w:hAnsi="等线" w:eastAsia="仿宋_GB2312" w:cs="宋体"/>
                <w:bCs/>
                <w:color w:val="000000"/>
                <w:kern w:val="0"/>
                <w:sz w:val="22"/>
              </w:rPr>
            </w:pPr>
            <w:r>
              <w:rPr>
                <w:rFonts w:ascii="仿宋_GB2312" w:hAnsi="等线" w:eastAsia="仿宋_GB2312" w:cs="宋体"/>
                <w:bCs/>
                <w:color w:val="000000"/>
                <w:kern w:val="0"/>
                <w:sz w:val="22"/>
              </w:rPr>
              <w:t>合计</w:t>
            </w:r>
          </w:p>
        </w:tc>
        <w:tc>
          <w:tcPr>
            <w:tcW w:w="1521" w:type="dxa"/>
            <w:vAlign w:val="top"/>
          </w:tcPr>
          <w:p w14:paraId="0BDCE991">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152.57</w:t>
            </w:r>
          </w:p>
        </w:tc>
        <w:tc>
          <w:tcPr>
            <w:tcW w:w="1134" w:type="dxa"/>
            <w:vAlign w:val="top"/>
          </w:tcPr>
          <w:p w14:paraId="62378364">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100.00%</w:t>
            </w:r>
          </w:p>
        </w:tc>
        <w:tc>
          <w:tcPr>
            <w:tcW w:w="1417" w:type="dxa"/>
            <w:vAlign w:val="top"/>
          </w:tcPr>
          <w:p w14:paraId="14844F9A">
            <w:pPr>
              <w:widowControl/>
              <w:jc w:val="center"/>
              <w:rPr>
                <w:rFonts w:hint="default"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155.04</w:t>
            </w:r>
          </w:p>
        </w:tc>
        <w:tc>
          <w:tcPr>
            <w:tcW w:w="1560" w:type="dxa"/>
            <w:vAlign w:val="top"/>
          </w:tcPr>
          <w:p w14:paraId="05D292ED">
            <w:pPr>
              <w:widowControl/>
              <w:jc w:val="center"/>
              <w:rPr>
                <w:rFonts w:hint="eastAsia" w:ascii="仿宋_GB2312" w:hAnsi="等线" w:eastAsia="仿宋_GB2312" w:cs="宋体"/>
                <w:bCs/>
                <w:color w:val="000000"/>
                <w:kern w:val="0"/>
                <w:sz w:val="22"/>
                <w:highlight w:val="none"/>
                <w:lang w:val="en-US" w:eastAsia="zh-CN"/>
              </w:rPr>
            </w:pPr>
            <w:r>
              <w:rPr>
                <w:rFonts w:hint="eastAsia" w:ascii="仿宋_GB2312" w:hAnsi="等线" w:eastAsia="仿宋_GB2312" w:cs="宋体"/>
                <w:bCs/>
                <w:color w:val="000000"/>
                <w:kern w:val="0"/>
                <w:sz w:val="22"/>
                <w:highlight w:val="none"/>
                <w:lang w:val="en-US" w:eastAsia="zh-CN"/>
              </w:rPr>
              <w:t>100.00%</w:t>
            </w:r>
          </w:p>
        </w:tc>
      </w:tr>
    </w:tbl>
    <w:p w14:paraId="1A907F8D">
      <w:pPr>
        <w:rPr>
          <w:rFonts w:ascii="仿宋_GB2312" w:hAnsi="等线" w:eastAsia="仿宋_GB2312" w:cs="宋体"/>
          <w:bCs/>
          <w:color w:val="000000"/>
          <w:kern w:val="0"/>
          <w:sz w:val="22"/>
        </w:rPr>
      </w:pPr>
      <w:r>
        <w:rPr>
          <w:rFonts w:ascii="仿宋_GB2312" w:hAnsi="等线" w:eastAsia="仿宋_GB2312" w:cs="宋体"/>
          <w:bCs/>
          <w:color w:val="000000"/>
          <w:kern w:val="0"/>
          <w:sz w:val="22"/>
        </w:rPr>
        <w:t>备注：</w:t>
      </w:r>
    </w:p>
    <w:p w14:paraId="540A2AE5">
      <w:pPr>
        <w:rPr>
          <w:rFonts w:ascii="仿宋_GB2312" w:hAnsi="等线" w:eastAsia="仿宋_GB2312" w:cs="宋体"/>
          <w:bCs/>
          <w:color w:val="000000"/>
          <w:kern w:val="0"/>
          <w:sz w:val="22"/>
        </w:rPr>
      </w:pPr>
      <w:r>
        <w:rPr>
          <w:rFonts w:hint="eastAsia" w:ascii="仿宋_GB2312" w:hAnsi="等线" w:eastAsia="仿宋_GB2312" w:cs="宋体"/>
          <w:bCs/>
          <w:color w:val="000000"/>
          <w:kern w:val="0"/>
          <w:sz w:val="22"/>
        </w:rPr>
        <w:t>1</w:t>
      </w:r>
      <w:r>
        <w:rPr>
          <w:rFonts w:ascii="仿宋_GB2312" w:hAnsi="等线" w:eastAsia="仿宋_GB2312" w:cs="宋体"/>
          <w:bCs/>
          <w:color w:val="000000"/>
          <w:kern w:val="0"/>
          <w:sz w:val="22"/>
        </w:rPr>
        <w:t>、分类规则：产品和资产的分类主要依据中国银保监会 G06 非保本理财业务月度统计表中的分类和口径。</w:t>
      </w:r>
      <w:r>
        <w:rPr>
          <w:rFonts w:hint="eastAsia" w:ascii="仿宋_GB2312" w:hAnsi="等线" w:eastAsia="仿宋_GB2312" w:cs="宋体"/>
          <w:bCs/>
          <w:color w:val="000000"/>
          <w:kern w:val="0"/>
          <w:sz w:val="22"/>
        </w:rPr>
        <w:t>因末位数字四舍五入，可能存在尾差。</w:t>
      </w:r>
    </w:p>
    <w:p w14:paraId="234E7325">
      <w:pPr>
        <w:rPr>
          <w:rFonts w:ascii="仿宋_GB2312" w:hAnsi="等线" w:eastAsia="仿宋_GB2312" w:cs="宋体"/>
          <w:bCs/>
          <w:color w:val="000000"/>
          <w:kern w:val="0"/>
          <w:sz w:val="22"/>
        </w:rPr>
      </w:pPr>
    </w:p>
    <w:p w14:paraId="0E1CF16B">
      <w:pPr>
        <w:jc w:val="right"/>
        <w:rPr>
          <w:rFonts w:ascii="仿宋_GB2312" w:hAnsi="等线" w:eastAsia="仿宋_GB2312" w:cs="宋体"/>
          <w:bCs/>
          <w:color w:val="000000"/>
          <w:kern w:val="0"/>
          <w:sz w:val="22"/>
        </w:rPr>
      </w:pPr>
    </w:p>
    <w:p w14:paraId="2709421C">
      <w:pPr>
        <w:jc w:val="right"/>
        <w:rPr>
          <w:rFonts w:ascii="仿宋_GB2312" w:hAnsi="等线" w:eastAsia="仿宋_GB2312" w:cs="宋体"/>
          <w:bCs/>
          <w:color w:val="000000"/>
          <w:kern w:val="0"/>
          <w:sz w:val="22"/>
        </w:rPr>
      </w:pPr>
      <w:r>
        <w:rPr>
          <w:rFonts w:hint="eastAsia" w:ascii="仿宋_GB2312" w:hAnsi="等线" w:eastAsia="仿宋_GB2312" w:cs="宋体"/>
          <w:bCs/>
          <w:color w:val="000000"/>
          <w:kern w:val="0"/>
          <w:sz w:val="22"/>
        </w:rPr>
        <w:t>嘉兴银行股份有限公司</w:t>
      </w:r>
    </w:p>
    <w:p w14:paraId="75FF031F">
      <w:pPr>
        <w:jc w:val="right"/>
        <w:rPr>
          <w:rFonts w:ascii="仿宋_GB2312" w:hAnsi="等线" w:eastAsia="仿宋_GB2312" w:cs="宋体"/>
          <w:bCs/>
          <w:color w:val="000000"/>
          <w:kern w:val="0"/>
          <w:sz w:val="22"/>
        </w:rPr>
      </w:pPr>
      <w:r>
        <w:rPr>
          <w:rFonts w:hint="eastAsia" w:ascii="仿宋_GB2312" w:hAnsi="等线" w:eastAsia="仿宋_GB2312" w:cs="宋体"/>
          <w:bCs/>
          <w:color w:val="000000"/>
          <w:kern w:val="0"/>
          <w:sz w:val="22"/>
        </w:rPr>
        <w:t>202</w:t>
      </w:r>
      <w:r>
        <w:rPr>
          <w:rFonts w:hint="eastAsia" w:ascii="仿宋_GB2312" w:hAnsi="等线" w:eastAsia="仿宋_GB2312" w:cs="宋体"/>
          <w:bCs/>
          <w:color w:val="000000"/>
          <w:kern w:val="0"/>
          <w:sz w:val="22"/>
          <w:lang w:val="en-US" w:eastAsia="zh-CN"/>
        </w:rPr>
        <w:t>5</w:t>
      </w:r>
      <w:r>
        <w:rPr>
          <w:rFonts w:hint="eastAsia" w:ascii="仿宋_GB2312" w:hAnsi="等线" w:eastAsia="仿宋_GB2312" w:cs="宋体"/>
          <w:bCs/>
          <w:color w:val="000000"/>
          <w:kern w:val="0"/>
          <w:sz w:val="22"/>
        </w:rPr>
        <w:t>年</w:t>
      </w:r>
      <w:r>
        <w:rPr>
          <w:rFonts w:hint="eastAsia" w:ascii="仿宋_GB2312" w:hAnsi="等线" w:eastAsia="仿宋_GB2312" w:cs="宋体"/>
          <w:bCs/>
          <w:color w:val="000000"/>
          <w:kern w:val="0"/>
          <w:sz w:val="22"/>
          <w:lang w:val="en-US" w:eastAsia="zh-CN"/>
        </w:rPr>
        <w:t>1</w:t>
      </w:r>
      <w:r>
        <w:rPr>
          <w:rFonts w:hint="eastAsia" w:ascii="仿宋_GB2312" w:hAnsi="等线" w:eastAsia="仿宋_GB2312" w:cs="宋体"/>
          <w:bCs/>
          <w:color w:val="000000"/>
          <w:kern w:val="0"/>
          <w:sz w:val="2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F1EBF"/>
    <w:multiLevelType w:val="multilevel"/>
    <w:tmpl w:val="25DF1EBF"/>
    <w:lvl w:ilvl="0" w:tentative="0">
      <w:start w:val="1"/>
      <w:numFmt w:val="japaneseCounting"/>
      <w:lvlText w:val="%1、"/>
      <w:lvlJc w:val="left"/>
      <w:pPr>
        <w:ind w:left="495" w:hanging="495"/>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FmMjBiY2M3MTYxODlkNzlmNWRmOTMzNGQyMjYifQ=="/>
  </w:docVars>
  <w:rsids>
    <w:rsidRoot w:val="00343A83"/>
    <w:rsid w:val="000A3177"/>
    <w:rsid w:val="000D0E17"/>
    <w:rsid w:val="001C27A4"/>
    <w:rsid w:val="003140C8"/>
    <w:rsid w:val="00343A83"/>
    <w:rsid w:val="003470E3"/>
    <w:rsid w:val="00411FA2"/>
    <w:rsid w:val="005857E3"/>
    <w:rsid w:val="00632A1C"/>
    <w:rsid w:val="00634671"/>
    <w:rsid w:val="006622CD"/>
    <w:rsid w:val="0075658C"/>
    <w:rsid w:val="00767403"/>
    <w:rsid w:val="007D21EF"/>
    <w:rsid w:val="008B01A2"/>
    <w:rsid w:val="008D2BF7"/>
    <w:rsid w:val="009D15CF"/>
    <w:rsid w:val="00B312F8"/>
    <w:rsid w:val="00B763FF"/>
    <w:rsid w:val="00C27379"/>
    <w:rsid w:val="00CB7B3A"/>
    <w:rsid w:val="00D12B20"/>
    <w:rsid w:val="00DA6C94"/>
    <w:rsid w:val="00E86176"/>
    <w:rsid w:val="0C442F98"/>
    <w:rsid w:val="12C32B88"/>
    <w:rsid w:val="17473777"/>
    <w:rsid w:val="19CC52F4"/>
    <w:rsid w:val="23A057C3"/>
    <w:rsid w:val="2461497B"/>
    <w:rsid w:val="43477BD1"/>
    <w:rsid w:val="443538F2"/>
    <w:rsid w:val="4DCB115F"/>
    <w:rsid w:val="53BE2844"/>
    <w:rsid w:val="5EEC16AD"/>
    <w:rsid w:val="5F4575D7"/>
    <w:rsid w:val="6AE30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573</Words>
  <Characters>820</Characters>
  <Lines>6</Lines>
  <Paragraphs>1</Paragraphs>
  <TotalTime>60</TotalTime>
  <ScaleCrop>false</ScaleCrop>
  <LinksUpToDate>false</LinksUpToDate>
  <CharactersWithSpaces>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2023-08-03T01:01:00Z</dcterms:created>
  <dc:creator>admin</dc:creator>
  <cp:lastModifiedBy>球球</cp:lastModifiedBy>
  <dcterms:modified xsi:type="dcterms:W3CDTF">2025-01-10T04:32:53Z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5FAB1F199B444ABFA5DC17C0DDBD1939_13</vt:lpwstr>
  </property>
  <property fmtid="{D5CDD505-2E9C-101B-9397-08002B2CF9AE}" pid="4" name="KSOTemplateDocerSaveRecord">
    <vt:lpwstr>eyJoZGlkIjoiNDIwNTM5MjQ4MTBjNmI4MDViZjJkMWFlYzAwNjQ5NWIiLCJ1c2VySWQiOiIzNDA0NDMzNzMifQ==</vt:lpwstr>
  </property>
</Properties>
</file>