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关于调整部分理财产品业绩比较基准</w:t>
      </w:r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的公告</w:t>
      </w:r>
    </w:p>
    <w:p>
      <w:pPr>
        <w:spacing w:line="560" w:lineRule="exact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560" w:lineRule="exact"/>
        <w:ind w:firstLine="0" w:firstLineChars="0"/>
        <w:jc w:val="left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尊敬的投资者：</w:t>
      </w:r>
    </w:p>
    <w:p>
      <w:pPr>
        <w:spacing w:line="560" w:lineRule="exact"/>
        <w:ind w:firstLine="640" w:firstLineChars="200"/>
        <w:jc w:val="left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根据产品说明书中关于业绩比较基准的约定及当前市场情况，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2"/>
          <w:sz w:val="32"/>
          <w:szCs w:val="32"/>
          <w:shd w:val="clear"/>
          <w:vertAlign w:val="baseline"/>
          <w:lang w:val="en-US" w:eastAsia="zh-CN"/>
        </w:rPr>
        <w:t>恒丰理财有限责任公司（本产品管理人）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决定自调整开始日（含）起，调整部分理财产品的业绩比较基准，具体如下：</w:t>
      </w:r>
    </w:p>
    <w:tbl>
      <w:tblPr>
        <w:tblStyle w:val="5"/>
        <w:tblW w:w="96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1"/>
        <w:gridCol w:w="1260"/>
        <w:gridCol w:w="1590"/>
        <w:gridCol w:w="2385"/>
        <w:gridCol w:w="1380"/>
        <w:gridCol w:w="1350"/>
        <w:gridCol w:w="1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tblHeader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产品登记编码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调整前业绩比较基准（%）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调整后业绩比较基准（%）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调整开始日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HRSXB0101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Z7008122000041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恒丰理财恒仁随心宝每日开放第1期A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2.0-2.8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1.6-2.0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2024-10-31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HRSXB0102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Z7008122000041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恒丰理财恒仁随心宝每日开放第1期私行专属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2.03-2.83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  <w:lang w:val="en-US" w:eastAsia="zh-CN"/>
              </w:rPr>
              <w:t>1.63-2.03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2024-10-31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HRSXB0103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Z7008122000041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恒丰理财恒仁随心宝每日开放第1期C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1.8-2.6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  <w:lang w:val="en-US" w:eastAsia="zh-CN"/>
              </w:rPr>
              <w:t>1.58-1.98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2024-10-31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HRSXB0104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Z7008122000041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恒丰理财恒仁随心宝每日开放第1期D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1.9-2.7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1.6-2.0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2024-10-31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  <w:t>HRSXB02A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  <w:t>Z7008124000077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  <w:t>恒丰理财恒仁随心宝每日开放第2期A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2.0-2.8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1.6-2.0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2024-10-31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HRSXB03A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Z7008124000078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  <w:t>恒丰理财恒仁随心宝每日开放第3期A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2.0-2.8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1.6-2.0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2024-10-31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HRSXB05A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Z7008124000187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恒丰理财恒仁随心宝每日开放第5期A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2.0-2.8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1.6-2.0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2024-10-31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HRSXB05B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Z7008124000187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恒丰理财恒仁随心宝每日开放第5期B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1.95-2.75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1.6-2.0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2024-10-31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HRSXB05C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Z7008124000187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恒丰理财恒仁随心宝每日开放第5期公司客户专属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2.0-2.8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1.6-2.0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2024-10-31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HRSXB06A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Z7008124000290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恒丰理财恒仁随心宝每日开放第6期A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2.0-2.8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1.6-2.0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2024-10-31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HRFRWL7D0107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Z7008122000025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恒丰理财恒仁随心盈最短持有7天A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2.0-2.8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1.6-2.1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2024-10-31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HRFRWL7D0101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Z7008122000025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恒丰理财恒仁随心盈最短持有7天B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1.85-2.65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1.6-2.1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2024-10-31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HRFRWL7D0102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Z7008122000025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恒丰理财恒仁随心盈最短持有7天私行专属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2.03-2.83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1.63-2.13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2024-10-31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HRFRWL7D01I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Z7008122000025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恒丰理财恒仁随心盈最短持有7天I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1.95-2.75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1.6-2.1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2024-10-31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HRSXY14D01A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Z7008123000098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恒丰理财恒仁随心盈最短持有14天A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2.0-2.8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1.6-2.1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2024-10-31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HRSXY14D01G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Z7008123000098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恒丰理财恒仁随心盈最短持有14天G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1.85-2.65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1.6-2.1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2024-10-31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HRSXY28D001A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Z7008124000076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恒丰理财恒仁随心盈最短持有28天A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2.0-3.0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1.6-2.15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2024-10-31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HRSXY28D001B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Z7008124000076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恒丰理财恒仁随心盈最短持有28天商户专属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2.05-3.05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1.65-2.2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2024-10-31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HRSXY28D001C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Z7008124000076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恒丰理财恒仁随心盈最短持有28天C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1.85-2.85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1.6-2.15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2024-10-31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HRSXY60D0101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Z7008122000027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恒丰理财恒仁随心盈最短持有60天A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2.4-3.0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1.8-2.2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2024-10-31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HRSXY60D0102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Z7008122000027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恒丰理财恒仁随心盈最短持有60天私行专属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2.43-3.03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1.83-2.23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2024-10-31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HRSXY60D0103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Z7008122000027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恒丰理财恒仁随心盈最短持有60天C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2.2-2.8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1.78-2.18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2024-10-31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HRSXY60D01G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Z7008122000027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恒丰理财恒仁随心盈最短持有60天G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2.30-2.90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1.8-2.2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2024-10-31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HRSXY90D001A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Z7008123000025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恒丰理财恒仁随心盈最短持有90天A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2.4-3.1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1.8-2.3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2024-10-31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HRSXY90D001DF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Z7008123000025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恒丰理财恒仁随心盈最短持有90天代发工资专属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2.45-3.15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1.85-2.35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2024-10-31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HRSXY120D01A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Z7008124000346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恒丰理财恒仁随心盈最短持有120天A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2.50-3.20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1.8-2.4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2024-10-31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HRSXY180D01A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Z7008124000347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恒丰理财恒仁随心盈最短持有180天A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2.70-3.80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1.8-2.5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2024-10-31</w:t>
            </w:r>
          </w:p>
        </w:tc>
      </w:tr>
    </w:tbl>
    <w:p>
      <w:pPr>
        <w:spacing w:line="560" w:lineRule="exact"/>
        <w:ind w:firstLine="640" w:firstLineChars="200"/>
        <w:jc w:val="left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相应产品业绩比较基准测算依据调整如下：</w:t>
      </w:r>
    </w:p>
    <w:tbl>
      <w:tblPr>
        <w:tblStyle w:val="5"/>
        <w:tblpPr w:leftFromText="180" w:rightFromText="180" w:vertAnchor="text" w:horzAnchor="page" w:tblpX="1644" w:tblpY="204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6"/>
        <w:gridCol w:w="41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tblHeader/>
        </w:trPr>
        <w:tc>
          <w:tcPr>
            <w:tcW w:w="43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jc w:val="center"/>
              <w:rPr>
                <w:rFonts w:hint="default" w:asci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调整前</w:t>
            </w:r>
          </w:p>
        </w:tc>
        <w:tc>
          <w:tcPr>
            <w:tcW w:w="41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调整后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</w:trPr>
        <w:tc>
          <w:tcPr>
            <w:tcW w:w="43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  <w:t>恒丰理财恒仁随心宝每日开放第3期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highlight w:val="none"/>
                <w:lang w:val="en-US" w:eastAsia="zh-CN"/>
              </w:rPr>
              <w:t>：</w:t>
            </w:r>
          </w:p>
          <w:p>
            <w:pPr>
              <w:pStyle w:val="7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  <w:lang w:val="en-US" w:eastAsia="zh-CN"/>
              </w:rPr>
              <w:t>考虑产品期限、投资性质等因素，根据产品投资策略,投资银行存款和同业存单仓位0-100%，信用债仓位0-140%，组合杠杆率0-40%，使用中债-新综合财富（总值）指数收益率、中债-同业存单总财富(总值)指数收益率和银行间DR001计算，其中，中债-新综合财富（总值）指数和中债-同业存单总财富(总值)指数的收益率取截至2024-6-6的近三年年化收益情况估算。</w:t>
            </w:r>
          </w:p>
        </w:tc>
        <w:tc>
          <w:tcPr>
            <w:tcW w:w="415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  <w:lang w:val="en-US" w:eastAsia="zh-CN"/>
              </w:rPr>
              <w:t>根据产品投资范围和投资期限，考虑市场环境因素，以产品投资利率债与信用债仓位之和0-130%，投资银行存款和同业存单仓位0-100%，组合杠杆率0-40%，使用本产品业绩比较基准调整时已知的中债-新综合财富（总值）指数收益率、中债-同业存单总财富(总值)指数收益率和银行间DR001计算。</w:t>
            </w:r>
          </w:p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</w:trPr>
        <w:tc>
          <w:tcPr>
            <w:tcW w:w="43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  <w:t>恒丰理财恒仁随心宝每日开放第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  <w:t>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highlight w:val="none"/>
                <w:lang w:val="en-US" w:eastAsia="zh-CN"/>
              </w:rPr>
              <w:t>：</w:t>
            </w:r>
          </w:p>
          <w:p>
            <w:pPr>
              <w:pStyle w:val="7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  <w:lang w:val="en-US" w:eastAsia="zh-CN"/>
              </w:rPr>
              <w:t>考虑产品期限、投资性质等因素，根据产品投资策略，投资银行存款和同业存单仓位0-100%，信用债仓位0-140%，组合杠杆率0-40%，使用中债-新综合财富（总值）指数收益率、中债-同业存单总财富（总值）指数收益率和银行间DR001计算，其中，中债-新综合财富（总值）指数和中债-同业存单总财富(总值)指数的收益率取截至2024-7-1的近三年年化收益情况估算。</w:t>
            </w:r>
          </w:p>
        </w:tc>
        <w:tc>
          <w:tcPr>
            <w:tcW w:w="415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</w:trPr>
        <w:tc>
          <w:tcPr>
            <w:tcW w:w="43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jc w:val="left"/>
              <w:rPr>
                <w:rFonts w:hint="eastAsia" w:cs="宋体" w:asciiTheme="minorEastAsia" w:hAnsi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  <w:t>恒丰理财恒仁随心宝每日开放第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  <w:t>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highlight w:val="none"/>
                <w:lang w:val="en-US" w:eastAsia="zh-CN"/>
              </w:rPr>
              <w:t>：</w:t>
            </w:r>
          </w:p>
          <w:p>
            <w:pPr>
              <w:pStyle w:val="7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  <w:lang w:val="en-US" w:eastAsia="zh-CN"/>
              </w:rPr>
              <w:t>考虑产品期限、投资性质等因素，根据产品投资策略,投资银行存款和同业存单仓位0-100%，信用债仓位0-140%，组合杠杆率0-40%，使用中债-新综合财富（总值）指数收益率、中债-同业存单总财富(总值)指数收益率和银行间DR001计算，其中，中债-新综合财富（总值）指数和中债-同业存单总财富(总值)指数的收益率取截至2024-6-25的近三年年化收益情况估算。</w:t>
            </w:r>
          </w:p>
        </w:tc>
        <w:tc>
          <w:tcPr>
            <w:tcW w:w="415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</w:trPr>
        <w:tc>
          <w:tcPr>
            <w:tcW w:w="43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0"/>
                <w:szCs w:val="20"/>
                <w:highlight w:val="none"/>
                <w:lang w:val="en-US" w:eastAsia="zh-CN"/>
              </w:rPr>
              <w:t>恒丰理财恒仁随心盈最短持有120天：</w:t>
            </w:r>
          </w:p>
          <w:p>
            <w:pPr>
              <w:pStyle w:val="7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  <w:lang w:val="en-US" w:eastAsia="zh-CN"/>
              </w:rPr>
              <w:t>考虑产品期限、投资性质等因素，根据产品投资策略,投资银行存款和同业存单仓位5-30%，信用债仓位80%-140%，组合杠杆率100%-140%，使用中债-新综合财富（总值）指数、中债-同业存单总财富(总值)指数收益率和银行间DR001计算，其中，中债-新综合财富（总值）指数和中债-综合财富（1年以下）指数收益率取截至2024-8-23的近三年年化收益情况估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  <w:lang w:val="en-US" w:eastAsia="zh-CN"/>
              </w:rPr>
              <w:t>。</w:t>
            </w:r>
          </w:p>
        </w:tc>
        <w:tc>
          <w:tcPr>
            <w:tcW w:w="41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  <w:lang w:val="en-US" w:eastAsia="zh-CN"/>
              </w:rPr>
              <w:t>根据产品投资范围和投资期限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  <w:lang w:val="en-US" w:eastAsia="zh-CN"/>
              </w:rPr>
              <w:t>，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  <w:lang w:val="en-US" w:eastAsia="zh-CN"/>
              </w:rPr>
              <w:t>考虑市场环境因素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  <w:lang w:val="en-US" w:eastAsia="zh-CN"/>
              </w:rPr>
              <w:t>，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  <w:lang w:val="en-US" w:eastAsia="zh-CN"/>
              </w:rPr>
              <w:t>以产品投资利率债与信用债仓位之和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  <w:lang w:val="en-US" w:eastAsia="zh-CN"/>
              </w:rPr>
              <w:t>0-14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  <w:lang w:val="en-US" w:eastAsia="zh-CN"/>
              </w:rPr>
              <w:t>0%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  <w:lang w:val="en-US" w:eastAsia="zh-CN"/>
              </w:rPr>
              <w:t>，投资银行存款和同业存单仓位0-100%，组合杠杆率0-40%，结合产品投资策略，考虑资本利得收益，使用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  <w:lang w:val="en-US" w:eastAsia="zh-CN"/>
              </w:rPr>
              <w:t>本产品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  <w:lang w:val="en-US" w:eastAsia="zh-CN"/>
              </w:rPr>
              <w:t>业绩比较基准调整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  <w:lang w:val="en-US" w:eastAsia="zh-CN"/>
              </w:rPr>
              <w:t>时已知的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  <w:lang w:val="en-US" w:eastAsia="zh-CN"/>
              </w:rPr>
              <w:t>中债-新综合财富（总值）指数收益率、中债-同业存单总财富(总值)指数收益率和银行间DR001计算。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</w:trPr>
        <w:tc>
          <w:tcPr>
            <w:tcW w:w="43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0"/>
                <w:szCs w:val="20"/>
                <w:highlight w:val="none"/>
                <w:lang w:val="en-US" w:eastAsia="zh-CN"/>
              </w:rPr>
              <w:t>恒丰理财恒仁随心盈最短持有180天：</w:t>
            </w:r>
          </w:p>
          <w:p>
            <w:pPr>
              <w:pStyle w:val="7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  <w:lang w:val="en-US" w:eastAsia="zh-CN"/>
              </w:rPr>
              <w:t>考虑产品期限、投资性质等因素，根据产品投资策略，投资银行存款和同业存单仓位0-30%，信用债仓位90%-140%，组合杠杆率120%-140%，使用中债-新综合财富（总值）指数、中债-同业存单总财富（总值指数）收益率和银行间DR001计算，其中，中债-新综合财富（总值）指数和中债-综合财富（1年以下）指数收益率取截至2024-7-22的近三年年化收益情况估算。</w:t>
            </w:r>
          </w:p>
        </w:tc>
        <w:tc>
          <w:tcPr>
            <w:tcW w:w="41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highlight w:val="none"/>
                <w:lang w:val="en-US" w:eastAsia="zh-CN"/>
              </w:rPr>
              <w:t>根据产品投资范围和投资期限，考虑市场环境因素，以产品投资利率债与信用债仓位之和0-140%，投资银行存款和同业存单仓位0-100%，组合杠杆率0-40%，结合产品投资策略，考虑资本利得收益，使用本产品业绩比较基准调整时已知的中债-新综合财富（总值）指数收益率、中债-同业存单总财富(总值)指数收益率和银行间DR001计算。</w:t>
            </w:r>
          </w:p>
        </w:tc>
      </w:tr>
    </w:tbl>
    <w:p>
      <w:pPr>
        <w:spacing w:line="560" w:lineRule="exact"/>
        <w:ind w:firstLine="640" w:firstLineChars="200"/>
        <w:jc w:val="left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本产品业绩比较基准不代表理财产品未来表现，不等于理财产品实际收益，不作为产品收益的业绩保证。</w:t>
      </w:r>
    </w:p>
    <w:p>
      <w:pPr>
        <w:numPr>
          <w:ilvl w:val="-1"/>
          <w:numId w:val="0"/>
        </w:numPr>
        <w:spacing w:line="56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如您不接受该调整，请在调整开始日前的开放期内赎回该产品。</w:t>
      </w:r>
      <w:r>
        <w:rPr>
          <w:rFonts w:hint="eastAsia" w:ascii="仿宋_GB2312" w:hAnsi="仿宋_GB2312" w:eastAsia="仿宋_GB2312" w:cs="仿宋_GB2312"/>
          <w:sz w:val="32"/>
          <w:szCs w:val="32"/>
        </w:rPr>
        <w:t>感谢您一直以来对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恒丰理财有限责任公司的支持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spacing w:line="560" w:lineRule="exact"/>
        <w:ind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spacing w:val="0"/>
          <w:kern w:val="2"/>
          <w:sz w:val="32"/>
          <w:szCs w:val="32"/>
          <w:shd w:val="clear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2"/>
          <w:sz w:val="32"/>
          <w:szCs w:val="32"/>
          <w:shd w:val="clear"/>
          <w:vertAlign w:val="baseline"/>
          <w:lang w:val="en-US" w:eastAsia="zh-CN"/>
        </w:rPr>
        <w:t xml:space="preserve">                  恒丰理财有限责任公司</w:t>
      </w:r>
    </w:p>
    <w:p>
      <w:pPr>
        <w:spacing w:line="560" w:lineRule="exact"/>
        <w:ind w:firstLine="640" w:firstLineChars="200"/>
        <w:jc w:val="center"/>
        <w:outlineLvl w:val="9"/>
      </w:pP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2"/>
          <w:sz w:val="32"/>
          <w:szCs w:val="32"/>
          <w:shd w:val="clear"/>
          <w:vertAlign w:val="baseline"/>
          <w:lang w:val="en-US" w:eastAsia="zh-CN"/>
        </w:rPr>
        <w:t xml:space="preserve">                  2024年10月2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2"/>
          <w:sz w:val="32"/>
          <w:szCs w:val="32"/>
          <w:shd w:val="clear"/>
          <w:vertAlign w:val="baseline"/>
          <w:lang w:val="en-US" w:eastAsia="zh-CN"/>
        </w:rPr>
        <w:t>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C7212"/>
    <w:rsid w:val="033354CE"/>
    <w:rsid w:val="03625D5E"/>
    <w:rsid w:val="0E7B647C"/>
    <w:rsid w:val="0EDC7212"/>
    <w:rsid w:val="0F6226C6"/>
    <w:rsid w:val="1C310D88"/>
    <w:rsid w:val="1C833E09"/>
    <w:rsid w:val="1DAF3335"/>
    <w:rsid w:val="1E0C08A5"/>
    <w:rsid w:val="223C34B6"/>
    <w:rsid w:val="23650A36"/>
    <w:rsid w:val="23867E95"/>
    <w:rsid w:val="25494A95"/>
    <w:rsid w:val="29B361CF"/>
    <w:rsid w:val="2DEB0DCE"/>
    <w:rsid w:val="2F2C250A"/>
    <w:rsid w:val="30F314B3"/>
    <w:rsid w:val="3451305A"/>
    <w:rsid w:val="359E5308"/>
    <w:rsid w:val="3AD751BD"/>
    <w:rsid w:val="3BBA5213"/>
    <w:rsid w:val="45D657AB"/>
    <w:rsid w:val="47FC3F90"/>
    <w:rsid w:val="4B39037D"/>
    <w:rsid w:val="4E151CB7"/>
    <w:rsid w:val="4E924EB0"/>
    <w:rsid w:val="54900F8B"/>
    <w:rsid w:val="56410888"/>
    <w:rsid w:val="595673D4"/>
    <w:rsid w:val="5BE81A4A"/>
    <w:rsid w:val="5CF12F75"/>
    <w:rsid w:val="5E1013C0"/>
    <w:rsid w:val="605E3925"/>
    <w:rsid w:val="612A6A67"/>
    <w:rsid w:val="65E65EB5"/>
    <w:rsid w:val="66CA5D42"/>
    <w:rsid w:val="67F14FC3"/>
    <w:rsid w:val="6B372924"/>
    <w:rsid w:val="6C877D63"/>
    <w:rsid w:val="6DC27F2D"/>
    <w:rsid w:val="71FD77DD"/>
    <w:rsid w:val="766E4236"/>
    <w:rsid w:val="7911489E"/>
    <w:rsid w:val="7C0960DE"/>
    <w:rsid w:val="7D793C71"/>
    <w:rsid w:val="7FC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rPr>
      <w:sz w:val="18"/>
      <w:szCs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pPr>
      <w:spacing w:before="205"/>
      <w:ind w:left="120"/>
    </w:pPr>
    <w:rPr>
      <w:rFonts w:ascii="仿宋_GB2312" w:hAnsi="仿宋_GB2312" w:eastAsia="仿宋_GB2312"/>
      <w:sz w:val="32"/>
      <w:szCs w:val="32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2022-04-19T07:23:00Z</dcterms:created>
  <dc:creator>yunfang</dc:creator>
  <cp:lastModifiedBy>zs</cp:lastModifiedBy>
  <dcterms:modified xsi:type="dcterms:W3CDTF">2024-10-25T10:09:34Z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17AB30FB5EF44D839D020845697078B2</vt:lpwstr>
  </property>
</Properties>
</file>