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B1" w:rsidRDefault="00B4429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11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054B1" w:rsidRDefault="00B4429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A054B1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11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11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C1092324A000009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9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2.40%-2.90%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A054B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54B1" w:rsidRDefault="00B442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A054B1" w:rsidRDefault="00A054B1">
      <w:pPr>
        <w:rPr>
          <w:rFonts w:ascii="宋体" w:hAnsi="宋体"/>
          <w:sz w:val="22"/>
        </w:rPr>
      </w:pPr>
    </w:p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054B1" w:rsidRDefault="00B4429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A054B1" w:rsidRDefault="00B44292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A054B1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A054B1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1.0002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054B1" w:rsidRDefault="00B44292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90,022,644.92</w:t>
            </w:r>
          </w:p>
        </w:tc>
      </w:tr>
    </w:tbl>
    <w:p w:rsidR="00A054B1" w:rsidRDefault="00A054B1">
      <w:pPr>
        <w:ind w:firstLine="440"/>
        <w:jc w:val="center"/>
        <w:rPr>
          <w:rFonts w:ascii="宋体" w:hAnsi="宋体"/>
          <w:sz w:val="22"/>
        </w:rPr>
      </w:pPr>
    </w:p>
    <w:p w:rsidR="00A054B1" w:rsidRDefault="00A054B1">
      <w:pPr>
        <w:ind w:firstLine="440"/>
        <w:jc w:val="center"/>
        <w:rPr>
          <w:rFonts w:ascii="宋体" w:hAnsi="宋体"/>
          <w:sz w:val="22"/>
        </w:rPr>
      </w:pPr>
    </w:p>
    <w:p w:rsidR="00A054B1" w:rsidRDefault="00B4429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A054B1" w:rsidRDefault="00B44292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100.17%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A054B1" w:rsidRDefault="00B4429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054B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A054B1" w:rsidRDefault="00A054B1">
      <w:pPr>
        <w:rPr>
          <w:rFonts w:ascii="宋体" w:hAnsi="宋体"/>
          <w:b/>
          <w:bCs/>
          <w:sz w:val="22"/>
        </w:rPr>
      </w:pPr>
    </w:p>
    <w:p w:rsidR="00A054B1" w:rsidRDefault="00A054B1">
      <w:pPr>
        <w:rPr>
          <w:rFonts w:ascii="宋体" w:hAnsi="宋体"/>
          <w:b/>
          <w:bCs/>
          <w:sz w:val="22"/>
        </w:rPr>
      </w:pPr>
    </w:p>
    <w:p w:rsidR="00A054B1" w:rsidRDefault="00B4429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华鑫信托鸿运高照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90,035,346.09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</w:tbl>
    <w:p w:rsidR="00A054B1" w:rsidRDefault="00B4429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8,219,049.96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9.11%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5,480,175.93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6.08%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高邮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4,416,451.43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4.90%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4,107,005.88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4.55%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4,077,289.02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4.52%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3,363,953.20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3.73%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泉新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3,132,693.20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3.47%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枣阳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2,890,651.82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3.21%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苏滁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2,847,273.04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3.16%</w:t>
            </w:r>
          </w:p>
        </w:tc>
      </w:tr>
      <w:tr w:rsidR="00A054B1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054B1" w:rsidRDefault="00B442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2,773,243.61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054B1" w:rsidRDefault="00B44292"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3.08%</w:t>
            </w:r>
          </w:p>
        </w:tc>
      </w:tr>
    </w:tbl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A054B1" w:rsidRDefault="00A054B1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A054B1" w:rsidRDefault="00B44292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A054B1">
        <w:tc>
          <w:tcPr>
            <w:tcW w:w="2602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A054B1">
        <w:tc>
          <w:tcPr>
            <w:tcW w:w="2602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A054B1">
        <w:tc>
          <w:tcPr>
            <w:tcW w:w="2602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A054B1">
        <w:tc>
          <w:tcPr>
            <w:tcW w:w="2602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A054B1">
        <w:tc>
          <w:tcPr>
            <w:tcW w:w="2602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A054B1" w:rsidRDefault="00B4429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A054B1" w:rsidRDefault="00B44292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A054B1" w:rsidRDefault="00A054B1">
      <w:pPr>
        <w:jc w:val="center"/>
        <w:rPr>
          <w:rFonts w:ascii="宋体" w:hAnsi="宋体"/>
          <w:sz w:val="30"/>
          <w:szCs w:val="30"/>
        </w:rPr>
      </w:pPr>
    </w:p>
    <w:p w:rsidR="00A054B1" w:rsidRDefault="00A054B1">
      <w:pPr>
        <w:rPr>
          <w:rFonts w:ascii="宋体" w:hAnsi="宋体"/>
          <w:sz w:val="30"/>
          <w:szCs w:val="30"/>
        </w:rPr>
      </w:pPr>
    </w:p>
    <w:p w:rsidR="00A054B1" w:rsidRDefault="00A054B1">
      <w:pPr>
        <w:rPr>
          <w:rFonts w:ascii="宋体" w:hAnsi="宋体"/>
          <w:sz w:val="30"/>
          <w:szCs w:val="30"/>
        </w:rPr>
      </w:pPr>
    </w:p>
    <w:p w:rsidR="00A054B1" w:rsidRDefault="00B44292" w:rsidP="00BD322F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A054B1" w:rsidRDefault="00B44292" w:rsidP="00BD322F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:rsidR="00A054B1" w:rsidRDefault="00A054B1">
      <w:pPr>
        <w:jc w:val="center"/>
        <w:rPr>
          <w:b/>
        </w:rPr>
      </w:pPr>
    </w:p>
    <w:sectPr w:rsidR="00A054B1" w:rsidSect="00A054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292" w:rsidRDefault="00B44292" w:rsidP="00BD322F">
      <w:r>
        <w:separator/>
      </w:r>
    </w:p>
  </w:endnote>
  <w:endnote w:type="continuationSeparator" w:id="1">
    <w:p w:rsidR="00B44292" w:rsidRDefault="00B44292" w:rsidP="00BD3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292" w:rsidRDefault="00B44292" w:rsidP="00BD322F">
      <w:r>
        <w:separator/>
      </w:r>
    </w:p>
  </w:footnote>
  <w:footnote w:type="continuationSeparator" w:id="1">
    <w:p w:rsidR="00B44292" w:rsidRDefault="00B44292" w:rsidP="00BD3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A054B1"/>
    <w:rsid w:val="00A054B1"/>
    <w:rsid w:val="00B44292"/>
    <w:rsid w:val="00BD322F"/>
    <w:rsid w:val="0192086A"/>
    <w:rsid w:val="0A5935C4"/>
    <w:rsid w:val="161B3214"/>
    <w:rsid w:val="1E7A0E62"/>
    <w:rsid w:val="22536C68"/>
    <w:rsid w:val="25780478"/>
    <w:rsid w:val="494876FC"/>
    <w:rsid w:val="4CC50901"/>
    <w:rsid w:val="52556334"/>
    <w:rsid w:val="65E65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054B1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A054B1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A054B1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A05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A05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A054B1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A054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A054B1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A054B1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A054B1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A054B1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A054B1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A054B1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A054B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2052-12.1.0.16364</vt:lpwstr>
  </property>
</Properties>
</file>