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260" w:rsidRDefault="000F5668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“嘉银红船”</w:t>
      </w:r>
      <w:r>
        <w:rPr>
          <w:rFonts w:ascii="宋体" w:hAnsi="宋体" w:hint="eastAsia"/>
          <w:b/>
          <w:sz w:val="32"/>
          <w:szCs w:val="32"/>
        </w:rPr>
        <w:t>2</w:t>
      </w:r>
      <w:r>
        <w:rPr>
          <w:rFonts w:ascii="宋体" w:hAnsi="宋体" w:hint="eastAsia"/>
          <w:b/>
          <w:sz w:val="32"/>
          <w:szCs w:val="32"/>
        </w:rPr>
        <w:t>4123</w:t>
      </w:r>
      <w:r>
        <w:rPr>
          <w:rFonts w:ascii="宋体" w:hAnsi="宋体" w:hint="eastAsia"/>
          <w:b/>
          <w:sz w:val="32"/>
          <w:szCs w:val="32"/>
        </w:rPr>
        <w:t>期理财产品</w:t>
      </w:r>
      <w:r>
        <w:rPr>
          <w:rFonts w:ascii="宋体" w:hAnsi="宋体"/>
          <w:b/>
          <w:sz w:val="32"/>
          <w:szCs w:val="32"/>
        </w:rPr>
        <w:t>2024</w:t>
      </w:r>
      <w:r>
        <w:rPr>
          <w:rFonts w:ascii="宋体" w:hAnsi="宋体"/>
          <w:b/>
          <w:sz w:val="32"/>
          <w:szCs w:val="32"/>
        </w:rPr>
        <w:t>年第</w:t>
      </w:r>
      <w:r>
        <w:rPr>
          <w:rFonts w:ascii="宋体" w:hAnsi="宋体" w:hint="eastAsia"/>
          <w:b/>
          <w:sz w:val="32"/>
          <w:szCs w:val="32"/>
        </w:rPr>
        <w:t>3</w:t>
      </w:r>
      <w:r>
        <w:rPr>
          <w:rFonts w:ascii="宋体" w:hAnsi="宋体"/>
          <w:b/>
          <w:sz w:val="32"/>
          <w:szCs w:val="32"/>
        </w:rPr>
        <w:t>季</w:t>
      </w:r>
      <w:r>
        <w:rPr>
          <w:rFonts w:ascii="宋体" w:hAnsi="宋体" w:hint="eastAsia"/>
          <w:b/>
          <w:sz w:val="32"/>
          <w:szCs w:val="32"/>
        </w:rPr>
        <w:t>度</w:t>
      </w:r>
      <w:r>
        <w:rPr>
          <w:rFonts w:ascii="宋体" w:hAnsi="宋体"/>
          <w:b/>
          <w:sz w:val="32"/>
          <w:szCs w:val="32"/>
        </w:rPr>
        <w:t>报告</w:t>
      </w:r>
    </w:p>
    <w:p w:rsidR="00517260" w:rsidRDefault="00517260">
      <w:pPr>
        <w:pStyle w:val="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:rsidR="00517260" w:rsidRDefault="00517260">
      <w:pPr>
        <w:pStyle w:val="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:rsidR="00517260" w:rsidRDefault="00517260">
      <w:pPr>
        <w:pStyle w:val="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:rsidR="00517260" w:rsidRDefault="000F5668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产品基本情况</w:t>
      </w:r>
    </w:p>
    <w:tbl>
      <w:tblPr>
        <w:tblW w:w="8400" w:type="dxa"/>
        <w:tblInd w:w="91" w:type="dxa"/>
        <w:tblLayout w:type="fixed"/>
        <w:tblLook w:val="04A0"/>
      </w:tblPr>
      <w:tblGrid>
        <w:gridCol w:w="4305"/>
        <w:gridCol w:w="4095"/>
      </w:tblGrid>
      <w:tr w:rsidR="00517260">
        <w:trPr>
          <w:trHeight w:val="378"/>
        </w:trPr>
        <w:tc>
          <w:tcPr>
            <w:tcW w:w="43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260" w:rsidRDefault="000F5668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产品名称</w:t>
            </w:r>
          </w:p>
        </w:tc>
        <w:tc>
          <w:tcPr>
            <w:tcW w:w="409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17260" w:rsidRDefault="000F5668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“嘉银红船”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2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4123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期理财产品</w:t>
            </w:r>
          </w:p>
        </w:tc>
      </w:tr>
      <w:tr w:rsidR="00517260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260" w:rsidRDefault="000F5668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产品代码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17260" w:rsidRDefault="000F5668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JYHC2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4123</w:t>
            </w:r>
          </w:p>
        </w:tc>
      </w:tr>
      <w:tr w:rsidR="00517260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260" w:rsidRDefault="000F5668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全国银行业理财信息登记系统登记编码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17260" w:rsidRDefault="000F5668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C1092324A000011</w:t>
            </w:r>
          </w:p>
        </w:tc>
      </w:tr>
      <w:tr w:rsidR="00517260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260" w:rsidRDefault="000F5668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产品运作方式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17260" w:rsidRDefault="000F5668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封闭式净值型</w:t>
            </w:r>
          </w:p>
        </w:tc>
      </w:tr>
      <w:tr w:rsidR="00517260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260" w:rsidRDefault="000F5668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报告期末产品份额总额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17260" w:rsidRDefault="000F5668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18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,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000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,000.00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份</w:t>
            </w:r>
          </w:p>
        </w:tc>
      </w:tr>
      <w:tr w:rsidR="00517260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260" w:rsidRDefault="000F5668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产品类型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17260" w:rsidRDefault="000F5668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固定收益类</w:t>
            </w:r>
          </w:p>
        </w:tc>
      </w:tr>
      <w:tr w:rsidR="00517260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260" w:rsidRDefault="000F5668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报告期末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业绩比较基准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17260" w:rsidRDefault="000F5668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2.35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%-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2.85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%</w:t>
            </w:r>
          </w:p>
        </w:tc>
      </w:tr>
      <w:tr w:rsidR="00517260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260" w:rsidRDefault="000F5668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管理人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17260" w:rsidRDefault="000F5668">
            <w:pPr>
              <w:pStyle w:val="a6"/>
              <w:widowControl/>
              <w:spacing w:before="0" w:beforeAutospacing="0" w:after="0" w:afterAutospacing="0"/>
              <w:rPr>
                <w:rFonts w:ascii="宋体" w:hAnsi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嘉兴银行股份有限公司</w:t>
            </w:r>
          </w:p>
        </w:tc>
      </w:tr>
      <w:tr w:rsidR="00517260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17260" w:rsidRDefault="000F5668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托管人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7260" w:rsidRDefault="000F5668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杭州银行股份有限公司</w:t>
            </w:r>
          </w:p>
        </w:tc>
      </w:tr>
    </w:tbl>
    <w:p w:rsidR="00517260" w:rsidRDefault="00517260">
      <w:pPr>
        <w:rPr>
          <w:rFonts w:ascii="宋体" w:hAnsi="宋体"/>
          <w:sz w:val="22"/>
        </w:rPr>
      </w:pPr>
    </w:p>
    <w:p w:rsidR="00517260" w:rsidRDefault="00517260">
      <w:pPr>
        <w:pStyle w:val="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:rsidR="00517260" w:rsidRDefault="000F5668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产品收益</w:t>
      </w:r>
      <w:r>
        <w:rPr>
          <w:rFonts w:ascii="宋体" w:hAnsi="宋体" w:hint="eastAsia"/>
          <w:b/>
          <w:bCs/>
          <w:sz w:val="30"/>
          <w:szCs w:val="30"/>
        </w:rPr>
        <w:t>/</w:t>
      </w:r>
      <w:r>
        <w:rPr>
          <w:rFonts w:ascii="宋体" w:hAnsi="宋体" w:hint="eastAsia"/>
          <w:b/>
          <w:bCs/>
          <w:sz w:val="30"/>
          <w:szCs w:val="30"/>
        </w:rPr>
        <w:t>净值表现</w:t>
      </w:r>
    </w:p>
    <w:p w:rsidR="00517260" w:rsidRDefault="000F5668">
      <w:pPr>
        <w:ind w:firstLine="440"/>
        <w:jc w:val="left"/>
        <w:rPr>
          <w:rFonts w:ascii="宋体" w:hAnsi="宋体"/>
          <w:sz w:val="22"/>
        </w:rPr>
      </w:pPr>
      <w:r>
        <w:rPr>
          <w:rFonts w:ascii="宋体" w:hAnsi="宋体" w:hint="eastAsia"/>
          <w:sz w:val="22"/>
        </w:rPr>
        <w:t>报告期末，产品净值表现如下：</w:t>
      </w:r>
    </w:p>
    <w:tbl>
      <w:tblPr>
        <w:tblW w:w="8506" w:type="dxa"/>
        <w:tblLayout w:type="fixed"/>
        <w:tblLook w:val="04A0"/>
      </w:tblPr>
      <w:tblGrid>
        <w:gridCol w:w="1801"/>
        <w:gridCol w:w="2145"/>
        <w:gridCol w:w="2145"/>
        <w:gridCol w:w="2415"/>
      </w:tblGrid>
      <w:tr w:rsidR="00517260">
        <w:trPr>
          <w:trHeight w:val="495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17260" w:rsidRDefault="000F5668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报告时点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17260" w:rsidRDefault="000F5668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产品份额净值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517260" w:rsidRDefault="000F5668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份额累计净值</w:t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517260" w:rsidRDefault="000F5668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产品资产净值</w:t>
            </w:r>
          </w:p>
        </w:tc>
      </w:tr>
      <w:tr w:rsidR="00517260">
        <w:trPr>
          <w:trHeight w:val="495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:rsidR="00517260" w:rsidRDefault="000F5668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2024/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9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/30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:rsidR="00517260" w:rsidRDefault="000F5668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0.9993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517260" w:rsidRDefault="000F5668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0.9993</w:t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517260" w:rsidRDefault="000F5668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17,989,072.23</w:t>
            </w:r>
          </w:p>
        </w:tc>
      </w:tr>
    </w:tbl>
    <w:p w:rsidR="00517260" w:rsidRDefault="00517260">
      <w:pPr>
        <w:ind w:firstLine="440"/>
        <w:jc w:val="center"/>
        <w:rPr>
          <w:rFonts w:ascii="宋体" w:hAnsi="宋体"/>
          <w:sz w:val="22"/>
        </w:rPr>
      </w:pPr>
    </w:p>
    <w:p w:rsidR="00517260" w:rsidRDefault="00517260">
      <w:pPr>
        <w:ind w:firstLine="440"/>
        <w:jc w:val="center"/>
        <w:rPr>
          <w:rFonts w:ascii="宋体" w:hAnsi="宋体"/>
          <w:sz w:val="22"/>
        </w:rPr>
      </w:pPr>
    </w:p>
    <w:p w:rsidR="00517260" w:rsidRDefault="000F5668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投资组合报告</w:t>
      </w:r>
    </w:p>
    <w:p w:rsidR="00517260" w:rsidRDefault="000F5668">
      <w:pPr>
        <w:pStyle w:val="1"/>
        <w:ind w:firstLine="440"/>
        <w:jc w:val="left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报告期内，</w:t>
      </w:r>
      <w:r>
        <w:rPr>
          <w:rStyle w:val="a8"/>
          <w:rFonts w:hint="eastAsia"/>
          <w:color w:val="000000" w:themeColor="text1"/>
        </w:rPr>
        <w:t>本产品未进行收益分配，</w:t>
      </w:r>
      <w:r>
        <w:rPr>
          <w:rFonts w:ascii="宋体" w:hAnsi="宋体" w:hint="eastAsia"/>
          <w:sz w:val="22"/>
          <w:szCs w:val="22"/>
        </w:rPr>
        <w:t>本产品穿透前持仓以</w:t>
      </w:r>
      <w:r>
        <w:rPr>
          <w:rFonts w:ascii="宋体" w:hAnsi="宋体" w:hint="eastAsia"/>
          <w:sz w:val="22"/>
          <w:szCs w:val="22"/>
        </w:rPr>
        <w:t>买入返售</w:t>
      </w:r>
      <w:r>
        <w:rPr>
          <w:rFonts w:ascii="宋体" w:hAnsi="宋体" w:hint="eastAsia"/>
          <w:sz w:val="22"/>
          <w:szCs w:val="22"/>
        </w:rPr>
        <w:t>为主，穿透后持仓以</w:t>
      </w:r>
      <w:r>
        <w:rPr>
          <w:rFonts w:ascii="宋体" w:hAnsi="宋体" w:hint="eastAsia"/>
          <w:sz w:val="22"/>
          <w:szCs w:val="22"/>
        </w:rPr>
        <w:t>买入返售</w:t>
      </w:r>
      <w:r>
        <w:rPr>
          <w:rFonts w:ascii="宋体" w:hAnsi="宋体" w:hint="eastAsia"/>
          <w:sz w:val="22"/>
          <w:szCs w:val="22"/>
        </w:rPr>
        <w:t>为主，杠杆率</w:t>
      </w:r>
      <w:r>
        <w:rPr>
          <w:rFonts w:ascii="宋体" w:hAnsi="宋体" w:hint="eastAsia"/>
          <w:sz w:val="22"/>
          <w:szCs w:val="22"/>
        </w:rPr>
        <w:t>100.01%</w:t>
      </w:r>
      <w:r>
        <w:rPr>
          <w:rFonts w:ascii="宋体" w:hAnsi="宋体" w:hint="eastAsia"/>
          <w:sz w:val="22"/>
          <w:szCs w:val="22"/>
        </w:rPr>
        <w:t>，流动性较好，流动风险较低。</w:t>
      </w:r>
    </w:p>
    <w:p w:rsidR="00517260" w:rsidRDefault="000F5668">
      <w:pPr>
        <w:pStyle w:val="2"/>
        <w:numPr>
          <w:ilvl w:val="0"/>
          <w:numId w:val="2"/>
        </w:numPr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t>报告期末产品资产组合情况</w:t>
      </w:r>
    </w:p>
    <w:tbl>
      <w:tblPr>
        <w:tblW w:w="8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20"/>
        <w:gridCol w:w="4125"/>
      </w:tblGrid>
      <w:tr w:rsidR="00517260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517260" w:rsidRDefault="000F5668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资产类型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517260" w:rsidRDefault="000F5668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占总资产比例</w:t>
            </w:r>
          </w:p>
        </w:tc>
      </w:tr>
      <w:tr w:rsidR="00517260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517260" w:rsidRDefault="000F5668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固定收益类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517260" w:rsidRDefault="000F5668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100.00%</w:t>
            </w:r>
          </w:p>
        </w:tc>
      </w:tr>
      <w:tr w:rsidR="00517260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517260" w:rsidRDefault="000F5668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权益类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517260" w:rsidRDefault="000F5668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517260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517260" w:rsidRDefault="000F5668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商品及金融衍生品类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517260" w:rsidRDefault="000F5668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517260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517260" w:rsidRDefault="000F5668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混合类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517260" w:rsidRDefault="000F5668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517260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517260" w:rsidRDefault="000F5668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lastRenderedPageBreak/>
              <w:t>合计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517260" w:rsidRDefault="000F5668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100.00%</w:t>
            </w:r>
          </w:p>
        </w:tc>
      </w:tr>
    </w:tbl>
    <w:p w:rsidR="00517260" w:rsidRDefault="00517260">
      <w:pPr>
        <w:rPr>
          <w:rFonts w:ascii="宋体" w:hAnsi="宋体"/>
          <w:b/>
          <w:bCs/>
          <w:sz w:val="22"/>
        </w:rPr>
      </w:pPr>
    </w:p>
    <w:p w:rsidR="00517260" w:rsidRDefault="00517260">
      <w:pPr>
        <w:rPr>
          <w:rFonts w:ascii="宋体" w:hAnsi="宋体"/>
          <w:b/>
          <w:bCs/>
          <w:sz w:val="22"/>
        </w:rPr>
      </w:pPr>
    </w:p>
    <w:p w:rsidR="00517260" w:rsidRDefault="000F5668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t>2.</w:t>
      </w:r>
      <w:r>
        <w:rPr>
          <w:rFonts w:ascii="宋体" w:hAnsi="宋体" w:hint="eastAsia"/>
          <w:b w:val="0"/>
          <w:bCs w:val="0"/>
          <w:sz w:val="22"/>
          <w:szCs w:val="22"/>
        </w:rPr>
        <w:t>报告期末</w:t>
      </w:r>
      <w:r>
        <w:rPr>
          <w:rFonts w:ascii="宋体" w:hAnsi="宋体" w:hint="eastAsia"/>
          <w:b w:val="0"/>
          <w:bCs w:val="0"/>
          <w:sz w:val="22"/>
          <w:szCs w:val="22"/>
        </w:rPr>
        <w:t>穿透前</w:t>
      </w:r>
      <w:r>
        <w:rPr>
          <w:rFonts w:ascii="宋体" w:hAnsi="宋体" w:hint="eastAsia"/>
          <w:b w:val="0"/>
          <w:bCs w:val="0"/>
          <w:sz w:val="22"/>
          <w:szCs w:val="22"/>
        </w:rPr>
        <w:t>资产持仓前十基本信息</w:t>
      </w:r>
      <w:r>
        <w:rPr>
          <w:rFonts w:ascii="宋体" w:hAnsi="宋体" w:hint="eastAsia"/>
          <w:b w:val="0"/>
          <w:bCs w:val="0"/>
          <w:sz w:val="22"/>
          <w:szCs w:val="22"/>
        </w:rPr>
        <w:t>（不含现金及买入返售）</w:t>
      </w:r>
    </w:p>
    <w:p w:rsidR="00517260" w:rsidRDefault="000F5668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t>无</w:t>
      </w:r>
    </w:p>
    <w:p w:rsidR="00517260" w:rsidRDefault="000F5668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t>3</w:t>
      </w:r>
      <w:r>
        <w:rPr>
          <w:rFonts w:ascii="宋体" w:hAnsi="宋体" w:hint="eastAsia"/>
          <w:b w:val="0"/>
          <w:bCs w:val="0"/>
          <w:sz w:val="22"/>
          <w:szCs w:val="22"/>
        </w:rPr>
        <w:t>.</w:t>
      </w:r>
      <w:r>
        <w:rPr>
          <w:rFonts w:ascii="宋体" w:hAnsi="宋体" w:hint="eastAsia"/>
          <w:b w:val="0"/>
          <w:bCs w:val="0"/>
          <w:sz w:val="22"/>
          <w:szCs w:val="22"/>
        </w:rPr>
        <w:t>报告期末</w:t>
      </w:r>
      <w:r>
        <w:rPr>
          <w:rFonts w:ascii="宋体" w:hAnsi="宋体" w:hint="eastAsia"/>
          <w:b w:val="0"/>
          <w:bCs w:val="0"/>
          <w:sz w:val="22"/>
          <w:szCs w:val="22"/>
        </w:rPr>
        <w:t>穿透后</w:t>
      </w:r>
      <w:r>
        <w:rPr>
          <w:rFonts w:ascii="宋体" w:hAnsi="宋体" w:hint="eastAsia"/>
          <w:b w:val="0"/>
          <w:bCs w:val="0"/>
          <w:sz w:val="22"/>
          <w:szCs w:val="22"/>
        </w:rPr>
        <w:t>资产持仓前十基本信息</w:t>
      </w:r>
      <w:r>
        <w:rPr>
          <w:rFonts w:ascii="宋体" w:hAnsi="宋体" w:hint="eastAsia"/>
          <w:b w:val="0"/>
          <w:bCs w:val="0"/>
          <w:sz w:val="22"/>
          <w:szCs w:val="22"/>
        </w:rPr>
        <w:t>（不含现金及买入返售）</w:t>
      </w:r>
    </w:p>
    <w:p w:rsidR="00517260" w:rsidRDefault="000F5668">
      <w:r>
        <w:rPr>
          <w:rFonts w:hint="eastAsia"/>
        </w:rPr>
        <w:t>无</w:t>
      </w:r>
    </w:p>
    <w:p w:rsidR="00517260" w:rsidRDefault="00517260">
      <w:pPr>
        <w:pStyle w:val="1"/>
        <w:ind w:firstLine="0"/>
        <w:jc w:val="left"/>
        <w:rPr>
          <w:rFonts w:ascii="宋体" w:hAnsi="宋体"/>
          <w:b/>
          <w:bCs/>
          <w:sz w:val="22"/>
        </w:rPr>
      </w:pPr>
    </w:p>
    <w:p w:rsidR="00517260" w:rsidRDefault="00517260">
      <w:pPr>
        <w:pStyle w:val="1"/>
        <w:ind w:firstLine="0"/>
        <w:jc w:val="left"/>
        <w:rPr>
          <w:rFonts w:ascii="宋体" w:hAnsi="宋体"/>
          <w:b/>
          <w:bCs/>
          <w:sz w:val="22"/>
          <w:szCs w:val="22"/>
        </w:rPr>
      </w:pPr>
    </w:p>
    <w:p w:rsidR="00517260" w:rsidRDefault="000F5668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30"/>
          <w:szCs w:val="30"/>
        </w:rPr>
      </w:pPr>
      <w:r>
        <w:rPr>
          <w:rFonts w:ascii="宋体" w:hAnsi="宋体" w:hint="eastAsia"/>
          <w:b/>
          <w:bCs/>
          <w:sz w:val="30"/>
          <w:szCs w:val="30"/>
        </w:rPr>
        <w:t>投资账户信息</w:t>
      </w:r>
    </w:p>
    <w:tbl>
      <w:tblPr>
        <w:tblW w:w="8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59"/>
        <w:gridCol w:w="4107"/>
      </w:tblGrid>
      <w:tr w:rsidR="00517260">
        <w:tc>
          <w:tcPr>
            <w:tcW w:w="2602" w:type="pct"/>
          </w:tcPr>
          <w:p w:rsidR="00517260" w:rsidRDefault="000F5668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交易场所</w:t>
            </w:r>
          </w:p>
        </w:tc>
        <w:tc>
          <w:tcPr>
            <w:tcW w:w="2397" w:type="pct"/>
          </w:tcPr>
          <w:p w:rsidR="00517260" w:rsidRDefault="000F566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账号</w:t>
            </w:r>
          </w:p>
        </w:tc>
      </w:tr>
      <w:tr w:rsidR="00517260">
        <w:tc>
          <w:tcPr>
            <w:tcW w:w="2602" w:type="pct"/>
          </w:tcPr>
          <w:p w:rsidR="00517260" w:rsidRDefault="000F5668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银行间市场清算所账号</w:t>
            </w:r>
          </w:p>
        </w:tc>
        <w:tc>
          <w:tcPr>
            <w:tcW w:w="2397" w:type="pct"/>
          </w:tcPr>
          <w:p w:rsidR="00517260" w:rsidRDefault="000F5668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B2189810</w:t>
            </w:r>
          </w:p>
        </w:tc>
      </w:tr>
      <w:tr w:rsidR="00517260">
        <w:tc>
          <w:tcPr>
            <w:tcW w:w="2602" w:type="pct"/>
          </w:tcPr>
          <w:p w:rsidR="00517260" w:rsidRDefault="000F5668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中央结算公司账号</w:t>
            </w:r>
          </w:p>
        </w:tc>
        <w:tc>
          <w:tcPr>
            <w:tcW w:w="2397" w:type="pct"/>
          </w:tcPr>
          <w:p w:rsidR="00517260" w:rsidRDefault="000F5668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00000033304</w:t>
            </w:r>
          </w:p>
        </w:tc>
      </w:tr>
      <w:tr w:rsidR="00517260">
        <w:tc>
          <w:tcPr>
            <w:tcW w:w="2602" w:type="pct"/>
          </w:tcPr>
          <w:p w:rsidR="00517260" w:rsidRDefault="000F5668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上海证券交易所账号</w:t>
            </w:r>
          </w:p>
        </w:tc>
        <w:tc>
          <w:tcPr>
            <w:tcW w:w="2397" w:type="pct"/>
          </w:tcPr>
          <w:p w:rsidR="00517260" w:rsidRDefault="000F5668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B882457359</w:t>
            </w:r>
          </w:p>
        </w:tc>
      </w:tr>
      <w:tr w:rsidR="00517260">
        <w:tc>
          <w:tcPr>
            <w:tcW w:w="2602" w:type="pct"/>
          </w:tcPr>
          <w:p w:rsidR="00517260" w:rsidRDefault="000F5668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深圳证券交易所账号</w:t>
            </w:r>
          </w:p>
        </w:tc>
        <w:tc>
          <w:tcPr>
            <w:tcW w:w="2397" w:type="pct"/>
          </w:tcPr>
          <w:p w:rsidR="00517260" w:rsidRDefault="000F5668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0899187394</w:t>
            </w:r>
          </w:p>
        </w:tc>
      </w:tr>
    </w:tbl>
    <w:p w:rsidR="00517260" w:rsidRDefault="000F5668">
      <w:pPr>
        <w:jc w:val="center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18"/>
          <w:szCs w:val="18"/>
        </w:rPr>
        <w:t>注：理财产品托管人</w:t>
      </w:r>
      <w:r>
        <w:rPr>
          <w:rFonts w:ascii="宋体" w:hAnsi="宋体" w:hint="eastAsia"/>
          <w:sz w:val="18"/>
          <w:szCs w:val="18"/>
        </w:rPr>
        <w:t>杭州</w:t>
      </w:r>
      <w:r>
        <w:rPr>
          <w:rFonts w:ascii="宋体" w:hAnsi="宋体" w:hint="eastAsia"/>
          <w:sz w:val="18"/>
          <w:szCs w:val="18"/>
        </w:rPr>
        <w:t>银行股份有限公司根据托管协议规定，复核了本报告中的财务指标、净值表现和资产组合报告等内容，保证复核内容不存在虚假记载、误导性陈述。</w:t>
      </w:r>
    </w:p>
    <w:p w:rsidR="00517260" w:rsidRDefault="00517260">
      <w:pPr>
        <w:jc w:val="center"/>
        <w:rPr>
          <w:rFonts w:ascii="宋体" w:hAnsi="宋体"/>
          <w:sz w:val="30"/>
          <w:szCs w:val="30"/>
        </w:rPr>
      </w:pPr>
    </w:p>
    <w:p w:rsidR="00517260" w:rsidRDefault="00517260">
      <w:pPr>
        <w:rPr>
          <w:rFonts w:ascii="宋体" w:hAnsi="宋体"/>
          <w:sz w:val="30"/>
          <w:szCs w:val="30"/>
        </w:rPr>
      </w:pPr>
    </w:p>
    <w:p w:rsidR="00517260" w:rsidRDefault="00517260">
      <w:pPr>
        <w:rPr>
          <w:rFonts w:ascii="宋体" w:hAnsi="宋体"/>
          <w:sz w:val="30"/>
          <w:szCs w:val="30"/>
        </w:rPr>
      </w:pPr>
    </w:p>
    <w:p w:rsidR="00517260" w:rsidRDefault="000F5668" w:rsidP="004B7E10">
      <w:pPr>
        <w:jc w:val="right"/>
        <w:rPr>
          <w:rFonts w:ascii="宋体" w:hAnsi="宋体"/>
          <w:sz w:val="22"/>
        </w:rPr>
      </w:pPr>
      <w:r>
        <w:rPr>
          <w:rFonts w:ascii="宋体" w:hAnsi="宋体" w:hint="eastAsia"/>
          <w:sz w:val="22"/>
        </w:rPr>
        <w:t xml:space="preserve">                                                </w:t>
      </w:r>
      <w:r>
        <w:rPr>
          <w:rFonts w:ascii="宋体" w:hAnsi="宋体" w:hint="eastAsia"/>
          <w:sz w:val="22"/>
        </w:rPr>
        <w:t>嘉兴银行股份有限公司</w:t>
      </w:r>
    </w:p>
    <w:p w:rsidR="00517260" w:rsidRDefault="000F5668" w:rsidP="004B7E10">
      <w:pPr>
        <w:jc w:val="right"/>
        <w:rPr>
          <w:szCs w:val="21"/>
        </w:rPr>
      </w:pPr>
      <w:r>
        <w:rPr>
          <w:rFonts w:ascii="宋体" w:hAnsi="宋体"/>
          <w:sz w:val="22"/>
        </w:rPr>
        <w:t>2024</w:t>
      </w:r>
      <w:r>
        <w:rPr>
          <w:rFonts w:ascii="宋体" w:hAnsi="宋体"/>
          <w:sz w:val="22"/>
        </w:rPr>
        <w:t>年</w:t>
      </w:r>
      <w:r>
        <w:rPr>
          <w:rFonts w:ascii="宋体" w:hAnsi="宋体" w:hint="eastAsia"/>
          <w:sz w:val="22"/>
        </w:rPr>
        <w:t>10</w:t>
      </w:r>
      <w:r>
        <w:rPr>
          <w:rFonts w:ascii="宋体" w:hAnsi="宋体"/>
          <w:sz w:val="22"/>
        </w:rPr>
        <w:t>月</w:t>
      </w:r>
      <w:r>
        <w:rPr>
          <w:rFonts w:ascii="宋体" w:hAnsi="宋体" w:hint="eastAsia"/>
          <w:sz w:val="22"/>
        </w:rPr>
        <w:t>23</w:t>
      </w:r>
      <w:bookmarkStart w:id="0" w:name="_GoBack"/>
      <w:bookmarkEnd w:id="0"/>
      <w:r>
        <w:rPr>
          <w:rFonts w:ascii="宋体" w:hAnsi="宋体"/>
          <w:sz w:val="22"/>
        </w:rPr>
        <w:t>日</w:t>
      </w:r>
    </w:p>
    <w:p w:rsidR="00517260" w:rsidRDefault="00517260">
      <w:pPr>
        <w:jc w:val="center"/>
        <w:rPr>
          <w:rFonts w:hint="eastAsia"/>
          <w:b/>
        </w:rPr>
      </w:pPr>
    </w:p>
    <w:p w:rsidR="004B7E10" w:rsidRDefault="004B7E10">
      <w:pPr>
        <w:jc w:val="center"/>
        <w:rPr>
          <w:b/>
        </w:rPr>
      </w:pPr>
    </w:p>
    <w:sectPr w:rsidR="004B7E10" w:rsidSect="0051726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5668" w:rsidRDefault="000F5668" w:rsidP="004B7E10">
      <w:r>
        <w:separator/>
      </w:r>
    </w:p>
  </w:endnote>
  <w:endnote w:type="continuationSeparator" w:id="1">
    <w:p w:rsidR="000F5668" w:rsidRDefault="000F5668" w:rsidP="004B7E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5668" w:rsidRDefault="000F5668" w:rsidP="004B7E10">
      <w:r>
        <w:separator/>
      </w:r>
    </w:p>
  </w:footnote>
  <w:footnote w:type="continuationSeparator" w:id="1">
    <w:p w:rsidR="000F5668" w:rsidRDefault="000F5668" w:rsidP="004B7E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6B2465"/>
    <w:multiLevelType w:val="multilevel"/>
    <w:tmpl w:val="596B2465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  <w:sz w:val="3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41B07D7"/>
    <w:multiLevelType w:val="multilevel"/>
    <w:tmpl w:val="741B07D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embedSystemFonts/>
  <w:defaultTabStop w:val="720"/>
  <w:drawingGridVerticalSpacing w:val="156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doNotLeaveBackslashAlone/>
    <w:ulTrailSpace/>
    <w:doNotExpandShiftReturn/>
    <w:doNotWrapTextWithPunct/>
    <w:doNotUseEastAsianBreakRules/>
    <w:useFELayout/>
    <w:doNotUseIndentAsNumberingTabStop/>
    <w:useAltKinsokuLineBreakRules/>
  </w:compat>
  <w:docVars>
    <w:docVar w:name="commondata" w:val="eyJoZGlkIjoiZGQ4ZjkwYWNlZmE1OTAyZGY3ODg4ZTc0ODNjYjA1ZGUifQ=="/>
  </w:docVars>
  <w:rsids>
    <w:rsidRoot w:val="00517260"/>
    <w:rsid w:val="000F5668"/>
    <w:rsid w:val="004B7E10"/>
    <w:rsid w:val="00517260"/>
    <w:rsid w:val="0BFD15B9"/>
    <w:rsid w:val="1582215D"/>
    <w:rsid w:val="25714A10"/>
    <w:rsid w:val="29195E94"/>
    <w:rsid w:val="60F920DF"/>
    <w:rsid w:val="613911A0"/>
    <w:rsid w:val="6FAA288A"/>
    <w:rsid w:val="6FF13869"/>
    <w:rsid w:val="713669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unhideWhenUsed="0" w:qFormat="1"/>
    <w:lsdException w:name="header" w:qFormat="1"/>
    <w:lsdException w:name="footer" w:qFormat="1"/>
    <w:lsdException w:name="caption" w:uiPriority="35" w:qFormat="1"/>
    <w:lsdException w:name="annotation reference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 w:qFormat="1"/>
    <w:lsdException w:name="Placeholder Text" w:semiHidden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260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9"/>
    <w:qFormat/>
    <w:rsid w:val="00517260"/>
    <w:pPr>
      <w:keepNext/>
      <w:keepLines/>
      <w:spacing w:before="260" w:after="260" w:line="415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51726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qFormat/>
    <w:rsid w:val="005172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autoRedefine/>
    <w:uiPriority w:val="99"/>
    <w:semiHidden/>
    <w:unhideWhenUsed/>
    <w:qFormat/>
    <w:rsid w:val="005172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rsid w:val="00517260"/>
    <w:pPr>
      <w:spacing w:before="100" w:beforeAutospacing="1" w:after="100" w:afterAutospacing="1"/>
      <w:jc w:val="left"/>
    </w:pPr>
    <w:rPr>
      <w:kern w:val="0"/>
      <w:sz w:val="24"/>
    </w:rPr>
  </w:style>
  <w:style w:type="table" w:styleId="a7">
    <w:name w:val="Table Grid"/>
    <w:basedOn w:val="a1"/>
    <w:uiPriority w:val="59"/>
    <w:qFormat/>
    <w:rsid w:val="0051726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标题 2 Char"/>
    <w:link w:val="2"/>
    <w:uiPriority w:val="99"/>
    <w:qFormat/>
    <w:rsid w:val="00517260"/>
    <w:rPr>
      <w:rFonts w:ascii="Cambria" w:hAnsi="Cambria"/>
      <w:b/>
      <w:bCs/>
      <w:kern w:val="2"/>
      <w:sz w:val="32"/>
      <w:szCs w:val="32"/>
    </w:rPr>
  </w:style>
  <w:style w:type="paragraph" w:customStyle="1" w:styleId="1">
    <w:name w:val="列出段落1"/>
    <w:basedOn w:val="a"/>
    <w:qFormat/>
    <w:rsid w:val="00517260"/>
    <w:pPr>
      <w:ind w:firstLine="200"/>
    </w:pPr>
    <w:rPr>
      <w:szCs w:val="21"/>
    </w:rPr>
  </w:style>
  <w:style w:type="character" w:customStyle="1" w:styleId="Char1">
    <w:name w:val="页眉 Char"/>
    <w:basedOn w:val="a0"/>
    <w:link w:val="a5"/>
    <w:uiPriority w:val="99"/>
    <w:semiHidden/>
    <w:qFormat/>
    <w:rsid w:val="00517260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517260"/>
    <w:rPr>
      <w:kern w:val="2"/>
      <w:sz w:val="18"/>
      <w:szCs w:val="18"/>
    </w:rPr>
  </w:style>
  <w:style w:type="character" w:styleId="a8">
    <w:name w:val="Placeholder Text"/>
    <w:basedOn w:val="a0"/>
    <w:uiPriority w:val="99"/>
    <w:unhideWhenUsed/>
    <w:qFormat/>
    <w:rsid w:val="00517260"/>
    <w:rPr>
      <w:color w:val="808080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517260"/>
    <w:rPr>
      <w:kern w:val="2"/>
      <w:sz w:val="18"/>
      <w:szCs w:val="18"/>
    </w:rPr>
  </w:style>
  <w:style w:type="paragraph" w:styleId="a9">
    <w:name w:val="List Paragraph"/>
    <w:basedOn w:val="a"/>
    <w:uiPriority w:val="99"/>
    <w:qFormat/>
    <w:rsid w:val="0051726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691</Characters>
  <Application>Microsoft Office Word</Application>
  <DocSecurity>0</DocSecurity>
  <Lines>5</Lines>
  <Paragraphs>1</Paragraphs>
  <ScaleCrop>false</ScaleCrop>
  <Company>Microsoft</Company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luozuobo</dc:creator>
  <cp:lastModifiedBy>admin</cp:lastModifiedBy>
  <cp:revision>3</cp:revision>
  <cp:lastPrinted>2113-01-01T00:00:00Z</cp:lastPrinted>
  <dcterms:created xsi:type="dcterms:W3CDTF">2023-02-17T07:08:00Z</dcterms:created>
  <dcterms:modified xsi:type="dcterms:W3CDTF">2024-10-23T04:58:00Z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355F389FD15E4490BE6D94636EE91EBD</vt:lpwstr>
  </property>
  <property fmtid="{D5CDD505-2E9C-101B-9397-08002B2CF9AE}" pid="3" name="KSOProductBuildVer">
    <vt:lpwstr>2052-12.1.0.18276</vt:lpwstr>
  </property>
</Properties>
</file>