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93C" w:rsidRDefault="00163C4B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嘉银红船双季盈开放式净值型理财产品</w:t>
      </w:r>
    </w:p>
    <w:p w:rsidR="00ED67B0" w:rsidRDefault="00163C4B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</w:t>
      </w:r>
      <w:r>
        <w:rPr>
          <w:rFonts w:ascii="宋体" w:hAnsi="宋体" w:hint="eastAsia"/>
          <w:b/>
          <w:sz w:val="32"/>
          <w:szCs w:val="32"/>
        </w:rPr>
        <w:t>度</w:t>
      </w:r>
      <w:r>
        <w:rPr>
          <w:rFonts w:ascii="宋体" w:hAnsi="宋体"/>
          <w:b/>
          <w:sz w:val="32"/>
          <w:szCs w:val="32"/>
        </w:rPr>
        <w:t>报告</w:t>
      </w:r>
    </w:p>
    <w:p w:rsidR="00ED67B0" w:rsidRDefault="00163C4B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ED67B0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嘉银红船双季盈开放式净值型理财产品</w:t>
            </w:r>
          </w:p>
        </w:tc>
      </w:tr>
      <w:tr w:rsidR="00ED67B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SJY</w:t>
            </w:r>
          </w:p>
        </w:tc>
      </w:tr>
      <w:tr w:rsidR="00ED67B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C1092320000019</w:t>
            </w:r>
          </w:p>
        </w:tc>
      </w:tr>
      <w:tr w:rsidR="00ED67B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开放式净值型</w:t>
            </w:r>
          </w:p>
        </w:tc>
      </w:tr>
      <w:tr w:rsidR="00ED67B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1,781,336,456.95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ED67B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ED67B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5%-2.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8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5%</w:t>
            </w:r>
          </w:p>
        </w:tc>
      </w:tr>
      <w:tr w:rsidR="00ED67B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D67B0" w:rsidRDefault="00163C4B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ED67B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67B0" w:rsidRDefault="00163C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ED67B0" w:rsidRDefault="00ED67B0">
      <w:pPr>
        <w:rPr>
          <w:rFonts w:ascii="宋体" w:hAnsi="宋体"/>
          <w:sz w:val="22"/>
        </w:rPr>
      </w:pPr>
    </w:p>
    <w:p w:rsidR="00ED67B0" w:rsidRDefault="00ED67B0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ED67B0" w:rsidRDefault="00163C4B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ED67B0" w:rsidRDefault="00163C4B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ED67B0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D67B0" w:rsidRDefault="00163C4B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ED67B0" w:rsidRDefault="00163C4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ED67B0" w:rsidRDefault="00163C4B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ED67B0" w:rsidRDefault="00163C4B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ED67B0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ED67B0" w:rsidRDefault="00163C4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ED67B0" w:rsidRDefault="00163C4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243794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ED67B0" w:rsidRDefault="00163C4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243794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ED67B0" w:rsidRDefault="00163C4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2,215,615,427.42</w:t>
            </w:r>
          </w:p>
        </w:tc>
      </w:tr>
    </w:tbl>
    <w:p w:rsidR="00ED67B0" w:rsidRDefault="00ED67B0">
      <w:pPr>
        <w:ind w:firstLine="440"/>
        <w:jc w:val="center"/>
        <w:rPr>
          <w:rFonts w:ascii="宋体" w:hAnsi="宋体"/>
          <w:sz w:val="22"/>
        </w:rPr>
      </w:pPr>
    </w:p>
    <w:p w:rsidR="00ED67B0" w:rsidRDefault="00ED67B0">
      <w:pPr>
        <w:ind w:firstLine="440"/>
        <w:jc w:val="center"/>
        <w:rPr>
          <w:rFonts w:ascii="宋体" w:hAnsi="宋体"/>
          <w:sz w:val="22"/>
        </w:rPr>
      </w:pPr>
    </w:p>
    <w:p w:rsidR="00ED67B0" w:rsidRDefault="00163C4B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ED67B0" w:rsidRDefault="00163C4B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本产品穿透前持仓以债券类资产为主，穿透后持仓以债券类资产为主，杠杆率</w:t>
      </w:r>
      <w:r>
        <w:rPr>
          <w:rFonts w:ascii="宋体" w:hAnsi="宋体" w:hint="eastAsia"/>
          <w:sz w:val="22"/>
          <w:szCs w:val="22"/>
        </w:rPr>
        <w:t>109.46%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ED67B0" w:rsidRDefault="00163C4B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ED67B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</w:t>
            </w:r>
            <w:bookmarkStart w:id="0" w:name="_GoBack"/>
            <w:bookmarkEnd w:id="0"/>
            <w:r>
              <w:rPr>
                <w:rFonts w:ascii="宋体" w:hAnsi="宋体" w:cs="宋体"/>
                <w:color w:val="000000"/>
                <w:sz w:val="22"/>
              </w:rPr>
              <w:t>资产比例</w:t>
            </w:r>
          </w:p>
        </w:tc>
      </w:tr>
      <w:tr w:rsidR="00ED67B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ED67B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ED67B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ED67B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ED67B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ED67B0" w:rsidRDefault="00ED67B0">
      <w:pPr>
        <w:rPr>
          <w:rFonts w:ascii="宋体" w:hAnsi="宋体"/>
          <w:b/>
          <w:bCs/>
          <w:sz w:val="22"/>
        </w:rPr>
      </w:pPr>
    </w:p>
    <w:p w:rsidR="00ED67B0" w:rsidRDefault="00ED67B0">
      <w:pPr>
        <w:rPr>
          <w:rFonts w:ascii="宋体" w:hAnsi="宋体"/>
          <w:b/>
          <w:bCs/>
          <w:sz w:val="22"/>
        </w:rPr>
      </w:pPr>
    </w:p>
    <w:p w:rsidR="00ED67B0" w:rsidRDefault="00163C4B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南太湖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155730082.19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6.42%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22</w:t>
            </w:r>
            <w:r>
              <w:rPr>
                <w:rFonts w:ascii="宋体" w:hAnsi="宋体" w:cs="宋体"/>
                <w:color w:val="000000"/>
                <w:sz w:val="22"/>
              </w:rPr>
              <w:t>太湖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138805967.87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5.72%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嵊州经开</w:t>
            </w:r>
            <w:r>
              <w:rPr>
                <w:rFonts w:ascii="宋体" w:hAnsi="宋体" w:cs="宋体"/>
                <w:color w:val="000000"/>
                <w:sz w:val="22"/>
              </w:rPr>
              <w:t>PPN001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124980590.16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5.15%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吴城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115886602.74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4.78%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迪投</w:t>
            </w:r>
            <w:r>
              <w:rPr>
                <w:rFonts w:ascii="宋体" w:hAnsi="宋体" w:cs="宋体"/>
                <w:color w:val="000000"/>
                <w:sz w:val="22"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104718726.03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4.32%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吴兴国投</w:t>
            </w:r>
            <w:r>
              <w:rPr>
                <w:rFonts w:ascii="宋体" w:hAnsi="宋体" w:cs="宋体"/>
                <w:color w:val="000000"/>
                <w:sz w:val="22"/>
              </w:rPr>
              <w:t>PPN001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104489180.33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4.31%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南园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103769027.40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4.28%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企业债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G21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长建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103382295.78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4.26%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建安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102815054.79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4.24%</w:t>
            </w:r>
          </w:p>
        </w:tc>
      </w:tr>
      <w:tr w:rsidR="00ED67B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100618573.15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4.15%</w:t>
            </w:r>
          </w:p>
        </w:tc>
      </w:tr>
    </w:tbl>
    <w:p w:rsidR="00ED67B0" w:rsidRDefault="00163C4B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南太湖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155730082.19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6.42%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22</w:t>
            </w:r>
            <w:r>
              <w:rPr>
                <w:rFonts w:ascii="宋体" w:hAnsi="宋体" w:cs="宋体"/>
                <w:color w:val="000000"/>
                <w:sz w:val="22"/>
              </w:rPr>
              <w:t>太湖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138805967.87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5.72%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嵊州经开</w:t>
            </w:r>
            <w:r>
              <w:rPr>
                <w:rFonts w:ascii="宋体" w:hAnsi="宋体" w:cs="宋体"/>
                <w:color w:val="000000"/>
                <w:sz w:val="22"/>
              </w:rPr>
              <w:t>PPN001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124980590.16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5.15%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吴城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115886602.74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4.78%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迪投</w:t>
            </w:r>
            <w:r>
              <w:rPr>
                <w:rFonts w:ascii="宋体" w:hAnsi="宋体" w:cs="宋体"/>
                <w:color w:val="000000"/>
                <w:sz w:val="22"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104718726.03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4.32%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吴兴国投</w:t>
            </w:r>
            <w:r>
              <w:rPr>
                <w:rFonts w:ascii="宋体" w:hAnsi="宋体" w:cs="宋体"/>
                <w:color w:val="000000"/>
                <w:sz w:val="22"/>
              </w:rPr>
              <w:t>PPN001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104489180.33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4.31%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南园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103769027.40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4.28%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企业债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G21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长建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103382295.78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4.26%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建安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102815054.79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4.24%</w:t>
            </w:r>
          </w:p>
        </w:tc>
      </w:tr>
      <w:tr w:rsidR="00ED67B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ED67B0" w:rsidRDefault="00163C4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100618573.15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ED67B0" w:rsidRDefault="00163C4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4.15%</w:t>
            </w:r>
          </w:p>
        </w:tc>
      </w:tr>
    </w:tbl>
    <w:p w:rsidR="00ED67B0" w:rsidRDefault="00ED67B0"/>
    <w:p w:rsidR="00ED67B0" w:rsidRDefault="00ED67B0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ED67B0" w:rsidRDefault="00ED67B0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ED67B0" w:rsidRDefault="00163C4B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ED67B0">
        <w:tc>
          <w:tcPr>
            <w:tcW w:w="2602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ED67B0">
        <w:tc>
          <w:tcPr>
            <w:tcW w:w="2602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ED67B0">
        <w:tc>
          <w:tcPr>
            <w:tcW w:w="2602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ED67B0">
        <w:tc>
          <w:tcPr>
            <w:tcW w:w="2602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ED67B0">
        <w:tc>
          <w:tcPr>
            <w:tcW w:w="2602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ED67B0" w:rsidRDefault="00163C4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ED67B0" w:rsidRDefault="00163C4B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ED67B0" w:rsidRDefault="00ED67B0">
      <w:pPr>
        <w:rPr>
          <w:rFonts w:ascii="宋体" w:hAnsi="宋体"/>
          <w:sz w:val="30"/>
          <w:szCs w:val="30"/>
        </w:rPr>
      </w:pPr>
    </w:p>
    <w:p w:rsidR="00ED67B0" w:rsidRDefault="00163C4B" w:rsidP="00C8693C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ED67B0" w:rsidRDefault="00163C4B" w:rsidP="00C8693C">
      <w:pPr>
        <w:jc w:val="right"/>
        <w:rPr>
          <w:b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</w:p>
    <w:sectPr w:rsidR="00ED67B0" w:rsidSect="00ED67B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C4B" w:rsidRDefault="00163C4B" w:rsidP="00C8693C">
      <w:r>
        <w:separator/>
      </w:r>
    </w:p>
  </w:endnote>
  <w:endnote w:type="continuationSeparator" w:id="1">
    <w:p w:rsidR="00163C4B" w:rsidRDefault="00163C4B" w:rsidP="00C86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C4B" w:rsidRDefault="00163C4B" w:rsidP="00C8693C">
      <w:r>
        <w:separator/>
      </w:r>
    </w:p>
  </w:footnote>
  <w:footnote w:type="continuationSeparator" w:id="1">
    <w:p w:rsidR="00163C4B" w:rsidRDefault="00163C4B" w:rsidP="00C869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NDIwNTM5MjQ4MTBjNmI4MDViZjJkMWFlYzAwNjQ5NWIifQ=="/>
  </w:docVars>
  <w:rsids>
    <w:rsidRoot w:val="00ED67B0"/>
    <w:rsid w:val="00163C4B"/>
    <w:rsid w:val="00C8693C"/>
    <w:rsid w:val="00ED67B0"/>
    <w:rsid w:val="0A6977CE"/>
    <w:rsid w:val="20F812CE"/>
    <w:rsid w:val="24620733"/>
    <w:rsid w:val="25FA6A8B"/>
    <w:rsid w:val="2C136012"/>
    <w:rsid w:val="38CB613B"/>
    <w:rsid w:val="3BCF5898"/>
    <w:rsid w:val="48126DE4"/>
    <w:rsid w:val="4C0B7355"/>
    <w:rsid w:val="51CF0D6E"/>
    <w:rsid w:val="58DD0FB2"/>
    <w:rsid w:val="5FEC2DF9"/>
    <w:rsid w:val="60F871D6"/>
    <w:rsid w:val="61056C5E"/>
    <w:rsid w:val="6B246832"/>
    <w:rsid w:val="7B474C85"/>
    <w:rsid w:val="7B8D4F30"/>
    <w:rsid w:val="7E244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D67B0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ED67B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D67B0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ED67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ED67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ED67B0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ED67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ED67B0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ED67B0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ED67B0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ED67B0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ED67B0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ED67B0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ED67B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